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jc w:val="right"/>
        <w:outlineLvl w:val="0"/>
      </w:pPr>
      <w:r>
        <w:t>Приложение N 1</w:t>
      </w:r>
    </w:p>
    <w:p w:rsidR="006D667E" w:rsidRDefault="006D667E">
      <w:pPr>
        <w:pStyle w:val="ConsPlusNormal"/>
        <w:jc w:val="right"/>
      </w:pPr>
      <w:r>
        <w:t>к Постановлению</w:t>
      </w:r>
    </w:p>
    <w:p w:rsidR="006D667E" w:rsidRDefault="006D667E">
      <w:pPr>
        <w:pStyle w:val="ConsPlusNormal"/>
        <w:jc w:val="right"/>
      </w:pPr>
      <w:r>
        <w:t>администрации</w:t>
      </w:r>
    </w:p>
    <w:p w:rsidR="006D667E" w:rsidRDefault="006D667E">
      <w:pPr>
        <w:pStyle w:val="ConsPlusNormal"/>
        <w:jc w:val="right"/>
      </w:pPr>
      <w:r>
        <w:t>(исполнительно-распорядительного органа)</w:t>
      </w:r>
    </w:p>
    <w:p w:rsidR="006D667E" w:rsidRDefault="006D667E">
      <w:pPr>
        <w:pStyle w:val="ConsPlusNormal"/>
        <w:jc w:val="right"/>
      </w:pPr>
      <w:r>
        <w:t>муниципального района</w:t>
      </w:r>
    </w:p>
    <w:p w:rsidR="006D667E" w:rsidRDefault="006D667E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6D667E" w:rsidRDefault="006D667E">
      <w:pPr>
        <w:pStyle w:val="ConsPlusNormal"/>
        <w:jc w:val="right"/>
      </w:pPr>
      <w:r>
        <w:t>от 22 марта 2019 года N 173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Title"/>
        <w:jc w:val="center"/>
        <w:outlineLvl w:val="1"/>
      </w:pPr>
      <w:bookmarkStart w:id="0" w:name="P36"/>
      <w:bookmarkStart w:id="1" w:name="_GoBack"/>
      <w:bookmarkEnd w:id="0"/>
      <w:r>
        <w:t>ПАСПОРТ</w:t>
      </w:r>
    </w:p>
    <w:p w:rsidR="006D667E" w:rsidRDefault="006D667E">
      <w:pPr>
        <w:pStyle w:val="ConsPlusTitle"/>
        <w:jc w:val="center"/>
      </w:pPr>
      <w:r>
        <w:t>муниципальной программы "Развитие малого и среднего</w:t>
      </w:r>
    </w:p>
    <w:p w:rsidR="006D667E" w:rsidRDefault="006D667E">
      <w:pPr>
        <w:pStyle w:val="ConsPlusTitle"/>
        <w:jc w:val="center"/>
      </w:pPr>
      <w:r>
        <w:t>предпринимательства на территории муниципального района</w:t>
      </w:r>
    </w:p>
    <w:p w:rsidR="006D667E" w:rsidRDefault="006D667E">
      <w:pPr>
        <w:pStyle w:val="ConsPlusTitle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bookmarkEnd w:id="1"/>
    <w:p w:rsidR="006D667E" w:rsidRDefault="006D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61"/>
        <w:gridCol w:w="1024"/>
        <w:gridCol w:w="1024"/>
        <w:gridCol w:w="964"/>
        <w:gridCol w:w="964"/>
        <w:gridCol w:w="907"/>
        <w:gridCol w:w="794"/>
      </w:tblGrid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6D667E" w:rsidRDefault="006D667E">
            <w:pPr>
              <w:pStyle w:val="ConsPlusNormal"/>
            </w:pPr>
            <w:r>
              <w:t>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- Повышение предпринимательской активности и развитие малого и среднего предпринимательства;</w:t>
            </w:r>
          </w:p>
          <w:p w:rsidR="006D667E" w:rsidRDefault="006D667E">
            <w:pPr>
              <w:pStyle w:val="ConsPlusNormal"/>
            </w:pPr>
            <w:r>
              <w:t>- оказание информационной, консультационной и финансовой поддержки субъектов малого и среднего предпринимательства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Отсутствуют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- количество действующих субъектов малого и среднего предпринимательства;</w:t>
            </w:r>
          </w:p>
          <w:p w:rsidR="006D667E" w:rsidRDefault="006D667E">
            <w:pPr>
              <w:pStyle w:val="ConsPlusNormal"/>
            </w:pPr>
            <w:r>
              <w:t>- количество работников (без внешних совместителей), занятых на малых и средних предприятиях;</w:t>
            </w:r>
          </w:p>
          <w:p w:rsidR="006D667E" w:rsidRDefault="006D667E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2019 - 2024 годы, реализуется в один этап</w:t>
            </w:r>
          </w:p>
        </w:tc>
      </w:tr>
      <w:tr w:rsidR="006D667E">
        <w:tc>
          <w:tcPr>
            <w:tcW w:w="9022" w:type="dxa"/>
            <w:gridSpan w:val="8"/>
          </w:tcPr>
          <w:p w:rsidR="006D667E" w:rsidRDefault="006D667E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</w:tr>
      <w:tr w:rsidR="006D667E">
        <w:tc>
          <w:tcPr>
            <w:tcW w:w="1984" w:type="dxa"/>
            <w:vMerge w:val="restart"/>
          </w:tcPr>
          <w:p w:rsidR="006D667E" w:rsidRDefault="006D667E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6D667E" w:rsidRDefault="006D667E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677" w:type="dxa"/>
            <w:gridSpan w:val="6"/>
          </w:tcPr>
          <w:p w:rsidR="006D667E" w:rsidRDefault="006D667E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6D667E">
        <w:tc>
          <w:tcPr>
            <w:tcW w:w="1984" w:type="dxa"/>
            <w:vMerge/>
          </w:tcPr>
          <w:p w:rsidR="006D667E" w:rsidRDefault="006D667E"/>
        </w:tc>
        <w:tc>
          <w:tcPr>
            <w:tcW w:w="1361" w:type="dxa"/>
            <w:vMerge/>
          </w:tcPr>
          <w:p w:rsidR="006D667E" w:rsidRDefault="006D667E"/>
        </w:tc>
        <w:tc>
          <w:tcPr>
            <w:tcW w:w="1024" w:type="dxa"/>
          </w:tcPr>
          <w:p w:rsidR="006D667E" w:rsidRDefault="006D66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6D667E" w:rsidRDefault="006D66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6D667E" w:rsidRDefault="006D66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6D667E" w:rsidRDefault="006D66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  <w:jc w:val="center"/>
            </w:pPr>
            <w:r>
              <w:t>2024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  <w:jc w:val="right"/>
            </w:pPr>
            <w:r>
              <w:t>4672,422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1351,211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1451,211</w:t>
            </w:r>
          </w:p>
        </w:tc>
        <w:tc>
          <w:tcPr>
            <w:tcW w:w="964" w:type="dxa"/>
          </w:tcPr>
          <w:p w:rsidR="006D667E" w:rsidRDefault="006D667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964" w:type="dxa"/>
          </w:tcPr>
          <w:p w:rsidR="006D667E" w:rsidRDefault="006D667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907" w:type="dxa"/>
          </w:tcPr>
          <w:p w:rsidR="006D667E" w:rsidRDefault="006D667E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  <w:jc w:val="right"/>
            </w:pPr>
            <w:r>
              <w:t>500,0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</w:p>
        </w:tc>
        <w:tc>
          <w:tcPr>
            <w:tcW w:w="102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102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96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96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907" w:type="dxa"/>
          </w:tcPr>
          <w:p w:rsidR="006D667E" w:rsidRDefault="006D667E">
            <w:pPr>
              <w:pStyle w:val="ConsPlusNormal"/>
            </w:pP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t>Средства местного бюджета&lt;*&gt;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964" w:type="dxa"/>
          </w:tcPr>
          <w:p w:rsidR="006D667E" w:rsidRDefault="006D667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964" w:type="dxa"/>
          </w:tcPr>
          <w:p w:rsidR="006D667E" w:rsidRDefault="006D667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907" w:type="dxa"/>
          </w:tcPr>
          <w:p w:rsidR="006D667E" w:rsidRDefault="006D667E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  <w:jc w:val="right"/>
            </w:pPr>
            <w:r>
              <w:t>500,0</w:t>
            </w: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  <w:r>
              <w:lastRenderedPageBreak/>
              <w:t>Средства областного бюджета &lt;**&gt;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  <w:jc w:val="right"/>
            </w:pPr>
            <w:r>
              <w:t>2062,422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1031,211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1031,211</w:t>
            </w:r>
          </w:p>
        </w:tc>
        <w:tc>
          <w:tcPr>
            <w:tcW w:w="96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96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907" w:type="dxa"/>
          </w:tcPr>
          <w:p w:rsidR="006D667E" w:rsidRDefault="006D667E">
            <w:pPr>
              <w:pStyle w:val="ConsPlusNormal"/>
            </w:pP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</w:p>
        </w:tc>
      </w:tr>
      <w:tr w:rsidR="006D667E">
        <w:tc>
          <w:tcPr>
            <w:tcW w:w="198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7038" w:type="dxa"/>
            <w:gridSpan w:val="7"/>
          </w:tcPr>
          <w:p w:rsidR="006D667E" w:rsidRDefault="006D667E">
            <w:pPr>
              <w:pStyle w:val="ConsPlusNormal"/>
            </w:pPr>
            <w:r>
              <w:t>&lt;*&gt; Объемы финансовых средств местного бюджета на реализацию программных мероприятий уточняются после принятия решения Районного Собрания о бюджете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на очередной финансовый год и на плановый период.</w:t>
            </w:r>
          </w:p>
          <w:p w:rsidR="006D667E" w:rsidRDefault="006D667E">
            <w:pPr>
              <w:pStyle w:val="ConsPlusNormal"/>
            </w:pPr>
            <w:r>
              <w:t>&lt;**&gt; 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</w:t>
            </w:r>
          </w:p>
        </w:tc>
      </w:tr>
    </w:tbl>
    <w:p w:rsidR="006D667E" w:rsidRDefault="006D667E">
      <w:pPr>
        <w:pStyle w:val="ConsPlusNormal"/>
        <w:jc w:val="both"/>
      </w:pPr>
    </w:p>
    <w:p w:rsidR="006D667E" w:rsidRDefault="006D667E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6D667E" w:rsidRDefault="006D667E">
      <w:pPr>
        <w:pStyle w:val="ConsPlusTitle"/>
        <w:jc w:val="center"/>
      </w:pPr>
      <w:r>
        <w:t>муниципальной программы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ind w:firstLine="540"/>
        <w:jc w:val="both"/>
      </w:pPr>
      <w:r>
        <w:t xml:space="preserve">Региональная государственная политика в сфере развития малого и среднего предпринимательства осуществляется в соответствии с приоритетами и целями государственной политики, установленными на федеральном уровне, в </w:t>
      </w:r>
      <w:hyperlink r:id="rId4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(с изменениями и дополнениями), </w:t>
      </w:r>
      <w:hyperlink r:id="rId5" w:history="1">
        <w:r>
          <w:rPr>
            <w:color w:val="0000FF"/>
          </w:rPr>
          <w:t>Стратегии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(с изменениями и дополнениями), государственной </w:t>
      </w:r>
      <w:hyperlink r:id="rId6" w:history="1">
        <w:r>
          <w:rPr>
            <w:color w:val="0000FF"/>
          </w:rPr>
          <w:t>программе</w:t>
        </w:r>
      </w:hyperlink>
      <w: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утвержденной постановлением Правительства Российской Федерации от 15.04.2014 N 316 (с изменениями и дополнениями), а также в </w:t>
      </w:r>
      <w:hyperlink r:id="rId7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(с изменениями и дополнениями).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 xml:space="preserve">Исходя из перспектив социально-экономического развития Калужской области в целом, стратегическими приоритетами для </w:t>
      </w:r>
      <w:proofErr w:type="spellStart"/>
      <w:r>
        <w:t>Ферзиковского</w:t>
      </w:r>
      <w:proofErr w:type="spellEnd"/>
      <w:r>
        <w:t xml:space="preserve"> района Калужской области является развитие малого и среднего предпринимательства, влияющего на весь диапазон задач социально-экономического развития района.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Таким образом, к числу приоритетов отнесено следующее направление - финансовая и нефинансовая поддержка малого и среднего предпринимательства.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Title"/>
        <w:jc w:val="center"/>
        <w:outlineLvl w:val="1"/>
      </w:pPr>
      <w:r>
        <w:t>2. Цели, задачи и индикаторы достижения целей и задач</w:t>
      </w:r>
    </w:p>
    <w:p w:rsidR="006D667E" w:rsidRDefault="006D667E">
      <w:pPr>
        <w:pStyle w:val="ConsPlusTitle"/>
        <w:jc w:val="center"/>
      </w:pPr>
      <w:r>
        <w:t>муниципальной программы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ind w:firstLine="540"/>
        <w:jc w:val="both"/>
      </w:pPr>
      <w:r>
        <w:t>Цель муниципальной программы: создание благоприятных условий для развития субъектов малого и среднего предпринимательства.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Достижение целей муниципальной программы будет осуществляться решением следующих задач: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повышение предпринимательской активности и развитие малого и среднего предпринимательства;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оказание информационной, консультационной и финансовой поддержки субъектов малого и среднего предпринимательства.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Реализация муниципальной программы рассчитана на 2019 - 2024 годы в один этап.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целевых индикаторов.</w:t>
      </w:r>
    </w:p>
    <w:p w:rsidR="006D667E" w:rsidRDefault="006D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589"/>
        <w:gridCol w:w="664"/>
        <w:gridCol w:w="664"/>
        <w:gridCol w:w="604"/>
        <w:gridCol w:w="604"/>
        <w:gridCol w:w="604"/>
        <w:gridCol w:w="604"/>
        <w:gridCol w:w="604"/>
        <w:gridCol w:w="604"/>
      </w:tblGrid>
      <w:tr w:rsidR="006D667E">
        <w:tc>
          <w:tcPr>
            <w:tcW w:w="454" w:type="dxa"/>
            <w:vMerge w:val="restart"/>
          </w:tcPr>
          <w:p w:rsidR="006D667E" w:rsidRDefault="006D66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vMerge w:val="restart"/>
          </w:tcPr>
          <w:p w:rsidR="006D667E" w:rsidRDefault="006D667E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589" w:type="dxa"/>
            <w:vMerge w:val="restart"/>
          </w:tcPr>
          <w:p w:rsidR="006D667E" w:rsidRDefault="006D667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952" w:type="dxa"/>
            <w:gridSpan w:val="8"/>
          </w:tcPr>
          <w:p w:rsidR="006D667E" w:rsidRDefault="006D667E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D667E">
        <w:tc>
          <w:tcPr>
            <w:tcW w:w="454" w:type="dxa"/>
            <w:vMerge/>
          </w:tcPr>
          <w:p w:rsidR="006D667E" w:rsidRDefault="006D667E"/>
        </w:tc>
        <w:tc>
          <w:tcPr>
            <w:tcW w:w="3061" w:type="dxa"/>
            <w:vMerge/>
          </w:tcPr>
          <w:p w:rsidR="006D667E" w:rsidRDefault="006D667E"/>
        </w:tc>
        <w:tc>
          <w:tcPr>
            <w:tcW w:w="589" w:type="dxa"/>
            <w:vMerge/>
          </w:tcPr>
          <w:p w:rsidR="006D667E" w:rsidRDefault="006D667E"/>
        </w:tc>
        <w:tc>
          <w:tcPr>
            <w:tcW w:w="664" w:type="dxa"/>
          </w:tcPr>
          <w:p w:rsidR="006D667E" w:rsidRDefault="006D667E">
            <w:pPr>
              <w:pStyle w:val="ConsPlusNormal"/>
              <w:jc w:val="center"/>
            </w:pPr>
            <w:r>
              <w:t>2017, факт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center"/>
            </w:pPr>
            <w:r>
              <w:t>2018, факт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center"/>
            </w:pPr>
            <w:r>
              <w:t>2024</w:t>
            </w:r>
          </w:p>
        </w:tc>
      </w:tr>
      <w:tr w:rsidR="006D667E">
        <w:tc>
          <w:tcPr>
            <w:tcW w:w="454" w:type="dxa"/>
          </w:tcPr>
          <w:p w:rsidR="006D667E" w:rsidRDefault="006D6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6D667E" w:rsidRDefault="006D667E">
            <w:pPr>
              <w:pStyle w:val="ConsPlusNormal"/>
            </w:pPr>
            <w:r>
              <w:t>- количество действующих субъектов малого и среднего предпринимательства</w:t>
            </w:r>
          </w:p>
        </w:tc>
        <w:tc>
          <w:tcPr>
            <w:tcW w:w="589" w:type="dxa"/>
          </w:tcPr>
          <w:p w:rsidR="006D667E" w:rsidRDefault="006D667E">
            <w:pPr>
              <w:pStyle w:val="ConsPlusNormal"/>
            </w:pPr>
            <w:r>
              <w:t>Ед.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60</w:t>
            </w:r>
          </w:p>
        </w:tc>
      </w:tr>
      <w:tr w:rsidR="006D667E">
        <w:tc>
          <w:tcPr>
            <w:tcW w:w="454" w:type="dxa"/>
          </w:tcPr>
          <w:p w:rsidR="006D667E" w:rsidRDefault="006D667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6D667E" w:rsidRDefault="006D667E">
            <w:pPr>
              <w:pStyle w:val="ConsPlusNormal"/>
            </w:pPr>
            <w:r>
              <w:t>- количество субъектов малого и среднего предпринимательства, получивших финансовую поддержку в рамках программы, нарастающим итогом</w:t>
            </w:r>
          </w:p>
        </w:tc>
        <w:tc>
          <w:tcPr>
            <w:tcW w:w="589" w:type="dxa"/>
          </w:tcPr>
          <w:p w:rsidR="006D667E" w:rsidRDefault="006D667E">
            <w:pPr>
              <w:pStyle w:val="ConsPlusNormal"/>
            </w:pPr>
            <w:r>
              <w:t>ед.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20</w:t>
            </w:r>
          </w:p>
        </w:tc>
      </w:tr>
      <w:tr w:rsidR="006D667E">
        <w:tc>
          <w:tcPr>
            <w:tcW w:w="454" w:type="dxa"/>
          </w:tcPr>
          <w:p w:rsidR="006D667E" w:rsidRDefault="006D66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6D667E" w:rsidRDefault="006D667E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  <w:tc>
          <w:tcPr>
            <w:tcW w:w="589" w:type="dxa"/>
          </w:tcPr>
          <w:p w:rsidR="006D667E" w:rsidRDefault="006D667E">
            <w:pPr>
              <w:pStyle w:val="ConsPlusNormal"/>
            </w:pPr>
            <w:r>
              <w:t>млн руб.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486,4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506,5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630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604" w:type="dxa"/>
          </w:tcPr>
          <w:p w:rsidR="006D667E" w:rsidRDefault="006D667E">
            <w:pPr>
              <w:pStyle w:val="ConsPlusNormal"/>
              <w:jc w:val="right"/>
            </w:pPr>
            <w:r>
              <w:t>740</w:t>
            </w:r>
          </w:p>
        </w:tc>
      </w:tr>
    </w:tbl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ind w:firstLine="540"/>
        <w:jc w:val="both"/>
      </w:pPr>
      <w:r>
        <w:t>Основные ожидаемые результаты реализации муниципальной программы: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увеличение количества субъектов малого и среднего предпринимательства (предприятий и организаций);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увеличение количества субъектов малого и среднего предпринимательства, получивших финансовую поддержку в рамках муниципальной программы;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увеличение объема оборота на малых предприятиях (собственного производства);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увеличение налоговых поступлений от субъектов малого и среднего предпринимательства;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сокращение уровня безработицы.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6D667E" w:rsidRDefault="006D667E">
      <w:pPr>
        <w:pStyle w:val="ConsPlusTitle"/>
        <w:jc w:val="center"/>
      </w:pPr>
      <w:r>
        <w:t>муниципальной программы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будет осуществляется в рамках реализации следующих основных мероприятий: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1) Оказание информационной и консультационной поддержки субъектам малого и среднего предпринимательства.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Краткая характеристика основного мероприятия: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влияет на формирование положительного образа предпринимателя;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реализуется с участием средств областного бюджета при реализации образовательных программ, при реализации мероприятий по вовлечению молодежи в предпринимательскую деятельность, при реализации мероприятий, направленных на популяризацию роли предпринимательства;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 xml:space="preserve">2) Развитие системы финансовой поддержки субъектов малого и среднего предпринимательства </w:t>
      </w:r>
      <w:proofErr w:type="spellStart"/>
      <w:r>
        <w:t>Ферзиковского</w:t>
      </w:r>
      <w:proofErr w:type="spellEnd"/>
      <w:r>
        <w:t xml:space="preserve"> района. Содействие модернизации производственной базы субъектов малого и среднего предпринимательства.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Краткая характеристика основного мероприятия: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влияет на модернизацию производственного процесса на малых и средних предприятиях;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реализуется с участием средств местного и областного бюджетов;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- обеспечит оказание финансовой поддержки субъектам малого и среднего предпринимательства.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6D667E" w:rsidRDefault="006D667E">
      <w:pPr>
        <w:pStyle w:val="ConsPlusTitle"/>
        <w:jc w:val="center"/>
      </w:pPr>
      <w:r>
        <w:t>муниципальной программы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ind w:firstLine="540"/>
        <w:jc w:val="both"/>
      </w:pPr>
      <w:r>
        <w:t xml:space="preserve">Реализация муниципальной программы предусматривается за счет средств бюджета муниципального </w:t>
      </w:r>
      <w:r>
        <w:lastRenderedPageBreak/>
        <w:t>района "</w:t>
      </w:r>
      <w:proofErr w:type="spellStart"/>
      <w:r>
        <w:t>Ферзиковский</w:t>
      </w:r>
      <w:proofErr w:type="spellEnd"/>
      <w:r>
        <w:t xml:space="preserve"> район", а также областного бюджета по соглашению на условиях </w:t>
      </w:r>
      <w:proofErr w:type="spellStart"/>
      <w:r>
        <w:t>софинансирования</w:t>
      </w:r>
      <w:proofErr w:type="spellEnd"/>
      <w:r>
        <w:t>. Общий объем финансирования муниципальной программы на 2019 - 2024 годы составляет 4672,422 тыс. рублей, из них из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- 2610 тыс. рублей.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jc w:val="right"/>
      </w:pPr>
      <w:r>
        <w:t>(тыс. рублей в ценах каждого года)</w:t>
      </w:r>
    </w:p>
    <w:p w:rsidR="006D667E" w:rsidRDefault="006D667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024"/>
        <w:gridCol w:w="1024"/>
        <w:gridCol w:w="1024"/>
        <w:gridCol w:w="664"/>
        <w:gridCol w:w="664"/>
        <w:gridCol w:w="664"/>
        <w:gridCol w:w="664"/>
      </w:tblGrid>
      <w:tr w:rsidR="006D667E">
        <w:tc>
          <w:tcPr>
            <w:tcW w:w="3288" w:type="dxa"/>
            <w:vMerge w:val="restart"/>
          </w:tcPr>
          <w:p w:rsidR="006D667E" w:rsidRDefault="006D667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6D667E" w:rsidRDefault="006D66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4" w:type="dxa"/>
            <w:gridSpan w:val="6"/>
          </w:tcPr>
          <w:p w:rsidR="006D667E" w:rsidRDefault="006D667E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6D667E">
        <w:tc>
          <w:tcPr>
            <w:tcW w:w="3288" w:type="dxa"/>
            <w:vMerge/>
          </w:tcPr>
          <w:p w:rsidR="006D667E" w:rsidRDefault="006D667E"/>
        </w:tc>
        <w:tc>
          <w:tcPr>
            <w:tcW w:w="1024" w:type="dxa"/>
            <w:vMerge/>
          </w:tcPr>
          <w:p w:rsidR="006D667E" w:rsidRDefault="006D667E"/>
        </w:tc>
        <w:tc>
          <w:tcPr>
            <w:tcW w:w="1024" w:type="dxa"/>
          </w:tcPr>
          <w:p w:rsidR="006D667E" w:rsidRDefault="006D66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center"/>
            </w:pPr>
            <w:r>
              <w:t>2024</w:t>
            </w:r>
          </w:p>
        </w:tc>
      </w:tr>
      <w:tr w:rsidR="006D667E">
        <w:tc>
          <w:tcPr>
            <w:tcW w:w="3288" w:type="dxa"/>
          </w:tcPr>
          <w:p w:rsidR="006D667E" w:rsidRDefault="006D667E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4672,422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1351,211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1451,211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500,0</w:t>
            </w:r>
          </w:p>
        </w:tc>
      </w:tr>
      <w:tr w:rsidR="006D667E">
        <w:tc>
          <w:tcPr>
            <w:tcW w:w="3288" w:type="dxa"/>
          </w:tcPr>
          <w:p w:rsidR="006D667E" w:rsidRDefault="006D667E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102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102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66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66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664" w:type="dxa"/>
          </w:tcPr>
          <w:p w:rsidR="006D667E" w:rsidRDefault="006D667E">
            <w:pPr>
              <w:pStyle w:val="ConsPlusNormal"/>
            </w:pPr>
          </w:p>
        </w:tc>
        <w:tc>
          <w:tcPr>
            <w:tcW w:w="664" w:type="dxa"/>
          </w:tcPr>
          <w:p w:rsidR="006D667E" w:rsidRDefault="006D667E">
            <w:pPr>
              <w:pStyle w:val="ConsPlusNormal"/>
            </w:pPr>
          </w:p>
        </w:tc>
      </w:tr>
      <w:tr w:rsidR="006D667E">
        <w:tc>
          <w:tcPr>
            <w:tcW w:w="3288" w:type="dxa"/>
          </w:tcPr>
          <w:p w:rsidR="006D667E" w:rsidRDefault="006D667E">
            <w:pPr>
              <w:pStyle w:val="ConsPlusNormal"/>
            </w:pPr>
            <w:r>
              <w:t>- средства местного бюджета &lt;*&gt;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2610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500</w:t>
            </w:r>
          </w:p>
        </w:tc>
      </w:tr>
      <w:tr w:rsidR="006D667E">
        <w:tc>
          <w:tcPr>
            <w:tcW w:w="3288" w:type="dxa"/>
          </w:tcPr>
          <w:p w:rsidR="006D667E" w:rsidRDefault="006D667E">
            <w:pPr>
              <w:pStyle w:val="ConsPlusNormal"/>
            </w:pPr>
            <w:r>
              <w:t>- средства областного бюджета &lt;**&gt;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2062,422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1031,211</w:t>
            </w:r>
          </w:p>
        </w:tc>
        <w:tc>
          <w:tcPr>
            <w:tcW w:w="1024" w:type="dxa"/>
          </w:tcPr>
          <w:p w:rsidR="006D667E" w:rsidRDefault="006D667E">
            <w:pPr>
              <w:pStyle w:val="ConsPlusNormal"/>
              <w:jc w:val="right"/>
            </w:pPr>
            <w:r>
              <w:t>1031,211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6D667E" w:rsidRDefault="006D667E">
            <w:pPr>
              <w:pStyle w:val="ConsPlusNormal"/>
            </w:pPr>
          </w:p>
        </w:tc>
      </w:tr>
    </w:tbl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ind w:firstLine="540"/>
        <w:jc w:val="both"/>
      </w:pPr>
      <w:r>
        <w:t>--------------------------------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&lt;*&gt; Объемы финансовых средств местного бюджета на реализацию подпрограммных мероприятий уточняются после принятия решения Районного Собрания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&lt;**&gt; 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области.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Title"/>
        <w:jc w:val="center"/>
        <w:outlineLvl w:val="1"/>
      </w:pPr>
      <w:r>
        <w:t>5. Перечень программных мероприятий муниципальной программы</w:t>
      </w:r>
    </w:p>
    <w:p w:rsidR="006D667E" w:rsidRDefault="006D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794"/>
        <w:gridCol w:w="3005"/>
        <w:gridCol w:w="1361"/>
      </w:tblGrid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62" w:type="dxa"/>
            <w:gridSpan w:val="4"/>
          </w:tcPr>
          <w:p w:rsidR="006D667E" w:rsidRDefault="006D667E">
            <w:pPr>
              <w:pStyle w:val="ConsPlusNormal"/>
              <w:jc w:val="center"/>
            </w:pPr>
            <w: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Местный бюджет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Размещение актуальной информации на сайте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в разделе "Малый бизнес"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Финансирование не требуется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 xml:space="preserve">Организация деятельности общественного Совета при Главе администрации по проблемам малого </w:t>
            </w:r>
            <w:r>
              <w:lastRenderedPageBreak/>
              <w:t>и среднего предпринимательства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 xml:space="preserve">Отдел экономического развития администрации (исполнительно-распорядительного органа) </w:t>
            </w:r>
            <w:r>
              <w:lastRenderedPageBreak/>
              <w:t>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Предоставление информации субъектам малого и среднего предпринимательства о свободных объектах недвижимого имущества и земельных участках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Финансирование не требуется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Консультационное содействие субъектам малого и среднего предпринимательства по участию в областных и федеральных конкурсах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Финансирование не требуется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Организация и реализация специальных массовых программ обучения и повышения квалификации для субъектов малого и среднего предпринимательства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МЭР Калужской области (по согласованию)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Финансирование не требуется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Формирование реестра свободных площадок для размещения производств и размещение данной информации на сайте администрации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 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Финансирование не требуется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62" w:type="dxa"/>
            <w:gridSpan w:val="4"/>
          </w:tcPr>
          <w:p w:rsidR="006D667E" w:rsidRDefault="006D667E">
            <w:pPr>
              <w:pStyle w:val="ConsPlusNormal"/>
              <w:jc w:val="center"/>
            </w:pPr>
            <w:r>
              <w:t xml:space="preserve">Развитие системы финансовой поддержки субъектов малого и среднего предпринимательства </w:t>
            </w:r>
            <w:proofErr w:type="spellStart"/>
            <w:r>
              <w:t>Ферзиковского</w:t>
            </w:r>
            <w:proofErr w:type="spellEnd"/>
            <w:r>
              <w:t xml:space="preserve"> района. Содействие модернизации производственной базы субъектов малого и среднего предпринимательства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Предоставление субсидий субъектам малого и среднего предпринимательства на компенсацию части затрат, связанных с приобретением оборудования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Местный бюджет, областной бюджет</w:t>
            </w:r>
          </w:p>
        </w:tc>
      </w:tr>
      <w:tr w:rsidR="006D667E">
        <w:tc>
          <w:tcPr>
            <w:tcW w:w="484" w:type="dxa"/>
          </w:tcPr>
          <w:p w:rsidR="006D667E" w:rsidRDefault="006D667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02" w:type="dxa"/>
          </w:tcPr>
          <w:p w:rsidR="006D667E" w:rsidRDefault="006D667E">
            <w:pPr>
              <w:pStyle w:val="ConsPlusNormal"/>
            </w:pPr>
            <w: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794" w:type="dxa"/>
          </w:tcPr>
          <w:p w:rsidR="006D667E" w:rsidRDefault="006D667E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6D667E" w:rsidRDefault="006D667E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61" w:type="dxa"/>
          </w:tcPr>
          <w:p w:rsidR="006D667E" w:rsidRDefault="006D667E">
            <w:pPr>
              <w:pStyle w:val="ConsPlusNormal"/>
            </w:pPr>
            <w:r>
              <w:t>Финансирование не требуется</w:t>
            </w:r>
          </w:p>
        </w:tc>
      </w:tr>
    </w:tbl>
    <w:p w:rsidR="006D667E" w:rsidRDefault="006D667E">
      <w:pPr>
        <w:pStyle w:val="ConsPlusNormal"/>
        <w:jc w:val="both"/>
      </w:pPr>
    </w:p>
    <w:p w:rsidR="006D667E" w:rsidRDefault="006D667E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 (далее - администрация) и предусматривает проведение организационных мероприятий, включая подготовку и (или) внесение изменений в нормативные правовые акты администрации, обеспечивающие выполнение программы в соответствии с действующим законодательством.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 xml:space="preserve">Порядок и условия взаимодействия по реализации программы с министерством экономического развития Калужской области и другими организациями определяются действующим законодательством и </w:t>
      </w:r>
      <w:r>
        <w:lastRenderedPageBreak/>
        <w:t>заключенными с ними соглашениями.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 xml:space="preserve">Выполнение мероприятий по развитию системы финансовой поддержки субъектов малого и среднего предпринимательства </w:t>
      </w:r>
      <w:proofErr w:type="spellStart"/>
      <w:r>
        <w:t>Ферзиковского</w:t>
      </w:r>
      <w:proofErr w:type="spellEnd"/>
      <w:r>
        <w:t xml:space="preserve"> района осуществляется путем предоставления субсидии юридическим лицам (кроме некоммерческих организаций), индивидуальным предпринимателям в соответствии с порядком предоставления субсидии, утверждаемым администрацией.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 xml:space="preserve">Для привлечения межбюджетных субсидий из областного бюджета местному бюджету для </w:t>
      </w:r>
      <w:proofErr w:type="spellStart"/>
      <w:r>
        <w:t>софинансирования</w:t>
      </w:r>
      <w:proofErr w:type="spellEnd"/>
      <w:r>
        <w:t xml:space="preserve"> мероприятий муниципальной программы администрация заключает с министерством экономического развития Калужской области ежегодно соглашение о предоставлении субсидии. Условия предоставления и методика расчета межбюджетных субсидий местным бюджетам для </w:t>
      </w:r>
      <w:proofErr w:type="spellStart"/>
      <w:r>
        <w:t>софинансирования</w:t>
      </w:r>
      <w:proofErr w:type="spellEnd"/>
      <w:r>
        <w:t xml:space="preserve"> мероприятий муниципальных программ развития малого и среднего предпринимательства установлены Правительством Калужской области.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Ответственность за реализацию мероприятий программы возложена на заместителя Главы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по экономике, финансам и муниципальному хозяйству.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 xml:space="preserve">Управление и мониторинг реализации муниципальной программы осуществляет ответственный исполнитель в соответствии с полномочиями, указанными в </w:t>
      </w:r>
      <w:hyperlink r:id="rId8" w:history="1">
        <w:r>
          <w:rPr>
            <w:color w:val="0000FF"/>
          </w:rPr>
          <w:t>разделе V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район", утвержденного постановлением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01.08.2013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(с изменениями и дополнениями).</w:t>
      </w:r>
    </w:p>
    <w:p w:rsidR="006D667E" w:rsidRDefault="006D667E">
      <w:pPr>
        <w:pStyle w:val="ConsPlusNormal"/>
        <w:spacing w:before="20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jc w:val="both"/>
      </w:pPr>
    </w:p>
    <w:p w:rsidR="006D667E" w:rsidRDefault="006D66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28A" w:rsidRDefault="0065128A"/>
    <w:sectPr w:rsidR="0065128A" w:rsidSect="0010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7E"/>
    <w:rsid w:val="005260B1"/>
    <w:rsid w:val="0065128A"/>
    <w:rsid w:val="006D667E"/>
    <w:rsid w:val="008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5665C-72AC-4FB2-9F96-6FCAB1AF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9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12E93"/>
    <w:pPr>
      <w:keepNext/>
      <w:ind w:left="600"/>
      <w:jc w:val="center"/>
      <w:outlineLvl w:val="0"/>
    </w:pPr>
    <w:rPr>
      <w:rFonts w:eastAsia="Times New Roman"/>
      <w:color w:val="0000FF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812E93"/>
    <w:pPr>
      <w:keepNext/>
      <w:ind w:left="600"/>
      <w:jc w:val="center"/>
      <w:outlineLvl w:val="1"/>
    </w:pPr>
    <w:rPr>
      <w:rFonts w:eastAsia="Times New Roman"/>
      <w:b/>
      <w:color w:val="0000FF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12E93"/>
    <w:pPr>
      <w:keepNext/>
      <w:ind w:left="240"/>
      <w:outlineLvl w:val="2"/>
    </w:pPr>
    <w:rPr>
      <w:rFonts w:eastAsia="Times New Roman"/>
      <w:b/>
      <w:color w:val="0000FF"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E93"/>
    <w:pPr>
      <w:keepNext/>
      <w:ind w:left="240"/>
      <w:jc w:val="center"/>
      <w:outlineLvl w:val="3"/>
    </w:pPr>
    <w:rPr>
      <w:rFonts w:eastAsia="Times New Roman"/>
      <w:color w:val="0000FF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E93"/>
    <w:pPr>
      <w:keepNext/>
      <w:ind w:left="240"/>
      <w:jc w:val="center"/>
      <w:outlineLvl w:val="4"/>
    </w:pPr>
    <w:rPr>
      <w:rFonts w:eastAsia="Times New Roman"/>
      <w:b/>
      <w:color w:val="0000FF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E93"/>
    <w:pPr>
      <w:keepNext/>
      <w:outlineLvl w:val="5"/>
    </w:pPr>
    <w:rPr>
      <w:rFonts w:eastAsia="Times New Roman"/>
      <w:color w:val="0000FF"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812E93"/>
    <w:pPr>
      <w:keepNext/>
      <w:ind w:left="240"/>
      <w:jc w:val="center"/>
      <w:outlineLvl w:val="6"/>
    </w:pPr>
    <w:rPr>
      <w:rFonts w:eastAsia="Times New Roman"/>
      <w:color w:val="000000"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812E93"/>
    <w:pPr>
      <w:keepNext/>
      <w:ind w:left="240"/>
      <w:outlineLvl w:val="7"/>
    </w:pPr>
    <w:rPr>
      <w:rFonts w:eastAsia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12E93"/>
    <w:rPr>
      <w:rFonts w:ascii="Times New Roman" w:eastAsia="Times New Roman" w:hAnsi="Times New Roman"/>
      <w:b/>
      <w:color w:val="0000FF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40">
    <w:name w:val="Заголовок 4 Знак"/>
    <w:basedOn w:val="a0"/>
    <w:link w:val="4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50">
    <w:name w:val="Заголовок 5 Знак"/>
    <w:basedOn w:val="a0"/>
    <w:link w:val="5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60">
    <w:name w:val="Заголовок 6 Знак"/>
    <w:basedOn w:val="a0"/>
    <w:link w:val="6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70">
    <w:name w:val="Заголовок 7 Знак"/>
    <w:basedOn w:val="a0"/>
    <w:link w:val="7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paragraph" w:styleId="a3">
    <w:name w:val="Title"/>
    <w:basedOn w:val="a"/>
    <w:link w:val="a4"/>
    <w:qFormat/>
    <w:rsid w:val="00812E93"/>
    <w:pPr>
      <w:jc w:val="center"/>
    </w:pPr>
    <w:rPr>
      <w:rFonts w:eastAsia="Times New Roman"/>
      <w:sz w:val="26"/>
      <w:lang w:eastAsia="ru-RU"/>
    </w:rPr>
  </w:style>
  <w:style w:type="character" w:customStyle="1" w:styleId="a4">
    <w:name w:val="Заголовок Знак"/>
    <w:basedOn w:val="a0"/>
    <w:link w:val="a3"/>
    <w:rsid w:val="00812E93"/>
    <w:rPr>
      <w:rFonts w:ascii="Times New Roman" w:eastAsia="Times New Roman" w:hAnsi="Times New Roman"/>
      <w:sz w:val="26"/>
      <w:lang w:eastAsia="ru-RU"/>
    </w:rPr>
  </w:style>
  <w:style w:type="paragraph" w:styleId="a5">
    <w:name w:val="List Paragraph"/>
    <w:basedOn w:val="a"/>
    <w:uiPriority w:val="34"/>
    <w:qFormat/>
    <w:rsid w:val="00812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D667E"/>
    <w:pPr>
      <w:widowControl w:val="0"/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6D667E"/>
    <w:pPr>
      <w:widowControl w:val="0"/>
      <w:autoSpaceDE w:val="0"/>
      <w:autoSpaceDN w:val="0"/>
    </w:pPr>
    <w:rPr>
      <w:rFonts w:ascii="Times New Roman" w:eastAsia="Times New Roman" w:hAnsi="Times New Roman"/>
      <w:b/>
      <w:lang w:eastAsia="ru-RU"/>
    </w:rPr>
  </w:style>
  <w:style w:type="paragraph" w:customStyle="1" w:styleId="ConsPlusTitlePage">
    <w:name w:val="ConsPlusTitlePage"/>
    <w:rsid w:val="006D667E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A6C85F296F0F752EAA337C1E9B2569B461E86F09B64AAFD4F838FB5A65A71E9061872303FE3ADAF4EBC25441B1E6C01FEFFB56C5AF48DB8388B3ZEH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F7A6C85F296F0F752EAA337C1E9B2569B461E86F0BB34FADD5F838FB5A65A71E9061872303FE3ADAF4EAC15341B1E6C01FEFFB56C5AF48DB8388B3ZEH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F7A6C85F296F0F752EB43E6A72C52B6DBD3AE7660DBC1AF388FE6FA40A63F25ED067D26047F33ADCFFBE91171FE8B58454E2FF48D9AF4FZCHCH" TargetMode="External"/><Relationship Id="rId5" Type="http://schemas.openxmlformats.org/officeDocument/2006/relationships/hyperlink" Target="consultantplus://offline/ref=58F7A6C85F296F0F752EB43E6A72C52B6CB63BE3670DBC1AF388FE6FA40A63F25ED067D26047F33ADAFFBE91171FE8B58454E2FF48D9AF4FZCH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8F7A6C85F296F0F752EB43E6A72C52B6DBF3CE56C0BBC1AF388FE6FA40A63F24CD03FDE6247ED3BDCEAE8C052Z4H3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Алёна Викторовна</cp:lastModifiedBy>
  <cp:revision>2</cp:revision>
  <dcterms:created xsi:type="dcterms:W3CDTF">2022-05-27T12:03:00Z</dcterms:created>
  <dcterms:modified xsi:type="dcterms:W3CDTF">2022-05-27T12:03:00Z</dcterms:modified>
</cp:coreProperties>
</file>