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32530E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0E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347C9" wp14:editId="3085AC2F">
                <wp:simplePos x="0" y="0"/>
                <wp:positionH relativeFrom="column">
                  <wp:posOffset>2019994</wp:posOffset>
                </wp:positionH>
                <wp:positionV relativeFrom="paragraph">
                  <wp:posOffset>1270</wp:posOffset>
                </wp:positionV>
                <wp:extent cx="5007934" cy="372110"/>
                <wp:effectExtent l="0" t="0" r="254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34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0E" w:rsidRPr="0032530E" w:rsidRDefault="003253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3253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ГБУ КО «МФЦ КАЛУЖСКОЙ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47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05pt;margin-top:.1pt;width:394.3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" stroked="f">
                <v:textbox>
                  <w:txbxContent>
                    <w:p w:rsidR="0032530E" w:rsidRPr="0032530E" w:rsidRDefault="0032530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32530E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ГБУ КО «МФЦ КАЛУЖСКОЙ ОБЛАСТИ»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6B4C0" wp14:editId="754116F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E366A2" w:rsidRDefault="00126E22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ИНФОРМАЦИЯ О ПРЕД</w:t>
      </w:r>
      <w:r w:rsidR="00CA6DFF">
        <w:rPr>
          <w:rFonts w:ascii="Times New Roman" w:hAnsi="Times New Roman" w:cs="Times New Roman"/>
          <w:b/>
          <w:sz w:val="56"/>
          <w:szCs w:val="52"/>
        </w:rPr>
        <w:t>УСМОТРЕННОЙ ЗАКОНОДАТЕЛЬСТВОМ РФ ОТВЕТС</w:t>
      </w:r>
      <w:r w:rsidR="00C47B85">
        <w:rPr>
          <w:rFonts w:ascii="Times New Roman" w:hAnsi="Times New Roman" w:cs="Times New Roman"/>
          <w:b/>
          <w:sz w:val="56"/>
          <w:szCs w:val="52"/>
        </w:rPr>
        <w:t>Т</w:t>
      </w:r>
      <w:r w:rsidR="00CA6DFF">
        <w:rPr>
          <w:rFonts w:ascii="Times New Roman" w:hAnsi="Times New Roman" w:cs="Times New Roman"/>
          <w:b/>
          <w:sz w:val="56"/>
          <w:szCs w:val="52"/>
        </w:rPr>
        <w:t>ВЕННОСТИ</w:t>
      </w:r>
    </w:p>
    <w:p w:rsidR="00702892" w:rsidRPr="00CA6DFF" w:rsidRDefault="00CA6DFF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40"/>
          <w:szCs w:val="52"/>
        </w:rPr>
      </w:pPr>
      <w:r w:rsidRPr="00CA6DFF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Pr="00CA6DFF">
        <w:rPr>
          <w:rFonts w:ascii="Times New Roman" w:hAnsi="Times New Roman" w:cs="Times New Roman"/>
          <w:b/>
          <w:sz w:val="36"/>
          <w:szCs w:val="52"/>
        </w:rPr>
        <w:t xml:space="preserve">ДОЛЖНОСТНЫХ ЛИЦ ОРГАНОВ, ПРЕДОСТАВЛЯЮЩИХ ГОСУДАРСТВЕННЫЕ УСЛУГИ, ДОЛЖНОСТНЫХ ЛИЦ ОРГАНОВ, ПРЕДОСТАВЛЯЮЩИХ МУНИЦИПАЛЬНЫЕ УСЛУГИ, РАБОТНИКОВ МФЦ, ЗА НАРУШЕНИЕ ПОРЯДКА ПРЕДОСТАВЛЕНИЯ ГОСУДАРСТВЕННЫХ И МУНИЦИПАЛЬНЫХ УСЛУГ </w:t>
      </w:r>
    </w:p>
    <w:p w:rsidR="00093224" w:rsidRDefault="00093224"/>
    <w:p w:rsidR="00D36021" w:rsidRPr="00D55A07" w:rsidRDefault="00D55A07">
      <w:pPr>
        <w:rPr>
          <w:sz w:val="24"/>
        </w:rPr>
        <w:sectPr w:rsidR="00D36021" w:rsidRPr="00D55A07" w:rsidSect="00704B0F">
          <w:pgSz w:w="11906" w:h="16838"/>
          <w:pgMar w:top="567" w:right="566" w:bottom="567" w:left="567" w:header="709" w:footer="709" w:gutter="0"/>
          <w:cols w:space="708"/>
          <w:docGrid w:linePitch="360"/>
        </w:sectPr>
      </w:pPr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6B8FD" wp14:editId="54239827">
                <wp:simplePos x="0" y="0"/>
                <wp:positionH relativeFrom="column">
                  <wp:posOffset>163830</wp:posOffset>
                </wp:positionH>
                <wp:positionV relativeFrom="paragraph">
                  <wp:posOffset>2818130</wp:posOffset>
                </wp:positionV>
                <wp:extent cx="2517140" cy="5429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7" w:rsidRPr="00D55A07" w:rsidRDefault="00D55A07" w:rsidP="00D55A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D55A07" w:rsidRPr="00D55A07" w:rsidRDefault="00D55A07" w:rsidP="00D55A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B8FD" id="_x0000_s1027" type="#_x0000_t202" style="position:absolute;margin-left:12.9pt;margin-top:221.9pt;width:198.2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" filled="f" stroked="f">
                <v:textbox>
                  <w:txbxContent>
                    <w:p w:rsidR="00D55A07" w:rsidRPr="00D55A07" w:rsidRDefault="00D55A07" w:rsidP="00D55A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D55A07" w:rsidRPr="00D55A07" w:rsidRDefault="00D55A07" w:rsidP="00D55A07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A21A9A" wp14:editId="4DE34A2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p w:rsidR="00CA6DFF" w:rsidRPr="00126E22" w:rsidRDefault="00CA6DFF" w:rsidP="00CA6DFF">
      <w:pPr>
        <w:pStyle w:val="1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26E2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Ответственность должностных лиц органов, предоставляющих государственные услуги, должностных лиц органов, предоставляющих муниципальные услуги, работников МФЦ, </w:t>
      </w:r>
      <w:r w:rsidR="00C9326F" w:rsidRPr="00126E22">
        <w:rPr>
          <w:rFonts w:ascii="Times New Roman" w:hAnsi="Times New Roman" w:cs="Times New Roman"/>
          <w:color w:val="000000"/>
          <w:sz w:val="26"/>
          <w:szCs w:val="26"/>
        </w:rPr>
        <w:t xml:space="preserve">ТОСП </w:t>
      </w:r>
      <w:r w:rsidRPr="00126E22">
        <w:rPr>
          <w:rFonts w:ascii="Times New Roman" w:hAnsi="Times New Roman" w:cs="Times New Roman"/>
          <w:color w:val="000000"/>
          <w:sz w:val="26"/>
          <w:szCs w:val="26"/>
        </w:rPr>
        <w:t xml:space="preserve">за нарушение порядка предоставления государственных и муниципальных услуг </w:t>
      </w:r>
    </w:p>
    <w:p w:rsidR="00CA6DFF" w:rsidRPr="00126E22" w:rsidRDefault="00CA6DFF" w:rsidP="00CA6DFF">
      <w:pPr>
        <w:rPr>
          <w:sz w:val="26"/>
          <w:szCs w:val="26"/>
        </w:rPr>
      </w:pPr>
    </w:p>
    <w:p w:rsidR="00CA6DFF" w:rsidRPr="00126E22" w:rsidRDefault="00CA6DFF" w:rsidP="00CA6DFF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26E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со </w:t>
      </w:r>
      <w:r w:rsidRPr="00126E2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</w:t>
      </w:r>
      <w:r w:rsidRPr="00126E22">
        <w:rPr>
          <w:rFonts w:ascii="Times New Roman" w:hAnsi="Times New Roman" w:cs="Times New Roman"/>
          <w:b w:val="0"/>
          <w:color w:val="000000"/>
          <w:sz w:val="26"/>
          <w:szCs w:val="26"/>
        </w:rPr>
        <w:t>т</w:t>
      </w:r>
      <w:r w:rsidRPr="00126E2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. 5.63 </w:t>
      </w:r>
      <w:r w:rsidRPr="00126E22">
        <w:rPr>
          <w:rFonts w:ascii="Times New Roman" w:hAnsi="Times New Roman" w:cs="Times New Roman"/>
          <w:b w:val="0"/>
          <w:sz w:val="26"/>
          <w:szCs w:val="26"/>
        </w:rPr>
        <w:t>Кодекса Российской Федерации об административных правонарушениях от 30.12.2001 № 195-ФЗ</w:t>
      </w:r>
      <w:r w:rsidR="00645E8D">
        <w:rPr>
          <w:rFonts w:ascii="Times New Roman" w:hAnsi="Times New Roman" w:cs="Times New Roman"/>
          <w:b w:val="0"/>
          <w:sz w:val="26"/>
          <w:szCs w:val="26"/>
        </w:rPr>
        <w:t xml:space="preserve"> (ред. от 29.07.2017)</w:t>
      </w:r>
      <w:r w:rsidRPr="00126E22"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Pr="00126E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арушение </w:t>
      </w:r>
      <w:hyperlink r:id="rId10" w:history="1">
        <w:r w:rsidRPr="00126E22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законодательства</w:t>
        </w:r>
      </w:hyperlink>
      <w:r w:rsidRPr="00126E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об организации предоставления государственных и муниципальных услуг </w:t>
      </w:r>
      <w:r w:rsidR="00645E8D">
        <w:rPr>
          <w:rFonts w:ascii="Times New Roman" w:hAnsi="Times New Roman" w:cs="Times New Roman"/>
          <w:b w:val="0"/>
          <w:color w:val="000000"/>
          <w:sz w:val="26"/>
          <w:szCs w:val="26"/>
        </w:rPr>
        <w:t>предусмотрено</w:t>
      </w:r>
      <w:r w:rsidRPr="00126E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следующее</w:t>
      </w:r>
      <w:r w:rsidR="00645E8D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126E22" w:rsidRPr="00126E22" w:rsidRDefault="00126E22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1. Нарушение должностным лицом федерального органа исполнительной власти или органа государственного внебюджетного фонда Российской Федерации,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или работником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порядка предоставления государственной услуги, предоставляемой федеральным органом исполнительной власти или государственным внебюджетным фондом Российской Федерации,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частью 2 </w:t>
      </w:r>
      <w:r w:rsidR="00645E8D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настоящей статьи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 если эти действия (бездействие) не содержа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т уголовно наказуемого деяния,</w:t>
      </w:r>
    </w:p>
    <w:p w:rsidR="00126E22" w:rsidRPr="00126E22" w:rsidRDefault="00C47B85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- </w:t>
      </w:r>
      <w:r w:rsidR="00126E22"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одной тысячи до одной тысячи пятисот рублей.</w:t>
      </w:r>
    </w:p>
    <w:p w:rsidR="00126E22" w:rsidRPr="00126E22" w:rsidRDefault="00126E22" w:rsidP="00C47B85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1.1. Нарушение должностным лицом органа исполнительной власти субъекта Российской Федерации или органа местного самоуправления,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частью 2 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настоящей статьи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 если эти действия (бездействие) не содержат уголовно наказуемого деяния, -</w:t>
      </w:r>
      <w:r w:rsidR="00C47B85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 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самоуправления, осуществляющих исполнительно-распорядительные полномочия, 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lastRenderedPageBreak/>
        <w:t>в размере от трех тысяч до пяти тысяч рублей.</w:t>
      </w:r>
    </w:p>
    <w:p w:rsidR="00126E22" w:rsidRPr="00126E22" w:rsidRDefault="00126E22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2. Требование лицами, указанными в частях 1 и 1.1 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настоящей статьи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 для предоставления государственных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если эти действия не содержат уголовно наказуемого</w:t>
      </w:r>
      <w:r w:rsidR="00C47B85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 деяния, </w:t>
      </w:r>
    </w:p>
    <w:p w:rsidR="00126E22" w:rsidRPr="00126E22" w:rsidRDefault="00C47B85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- </w:t>
      </w:r>
      <w:r w:rsidR="00126E22"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влечет наложение административного штрафа на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 исполнительно-распорядительные полномочия, или органов государственных внебюджетных фондов Российской Федерации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одной тысячи пятисот до трех тысяч рублей.</w:t>
      </w:r>
    </w:p>
    <w:p w:rsidR="00126E22" w:rsidRPr="00126E22" w:rsidRDefault="00126E22" w:rsidP="00C47B85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3. Нарушение должностным лицом, наделенным полномочиями по рассмотрению жалоб на нарушение порядка предоставления государственной или муниципальной услуги, порядка или сроков рассмотрения жалобы либо незаконный отказ или уклонение указанного должностного лица </w:t>
      </w:r>
      <w:r w:rsidR="00C47B85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от принятия ее к рассмотрению - 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влечет наложение административного штрафа в размере от двадцати тысяч до тридцати тысяч рублей.</w:t>
      </w:r>
    </w:p>
    <w:p w:rsidR="00126E22" w:rsidRPr="00126E22" w:rsidRDefault="00126E22" w:rsidP="00C47B85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4. Совершение административного правонарушения, предусмотренного частью 1, 1.1 или 2 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настоящей статьи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 лицом, ранее подвергнутым административному наказанию за аналогичное адм</w:t>
      </w:r>
      <w:r w:rsidR="00C47B85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инистративное правонарушение, - 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влечет наложение административного штрафа на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 исполнительно-распорядительные полномочия,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трех тысяч до пяти тысяч рублей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 либо дисквалификацию на срок от трех до шести месяцев.</w:t>
      </w:r>
    </w:p>
    <w:p w:rsidR="00126E22" w:rsidRPr="00126E22" w:rsidRDefault="00126E22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5. Совершение административного правонарушения, предусмотренного частью 3 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настоящей статьи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, лицом, ранее подвергнутым административному наказанию за аналогичное ад</w:t>
      </w:r>
      <w:r w:rsidR="00C47B85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министрати</w:t>
      </w:r>
      <w:r w:rsidR="00866287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вное правонарушение,</w:t>
      </w:r>
    </w:p>
    <w:p w:rsidR="00126E22" w:rsidRDefault="00C47B85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- </w:t>
      </w:r>
      <w:r w:rsidR="00126E22"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года.</w:t>
      </w:r>
    </w:p>
    <w:p w:rsidR="000745F0" w:rsidRPr="000745F0" w:rsidRDefault="000745F0" w:rsidP="000745F0"/>
    <w:p w:rsidR="00126E22" w:rsidRDefault="00126E22" w:rsidP="00126E22">
      <w:pPr>
        <w:pStyle w:val="ConsPlusDocList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</w:pP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lastRenderedPageBreak/>
        <w:t xml:space="preserve">Примечание. Положения </w:t>
      </w:r>
      <w:r w:rsidR="001426F4" w:rsidRPr="001426F4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статьи 5.63 Кодекса Российской Федерации об административных правонарушениях от 30.12.2001 № 195-ФЗ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 xml:space="preserve"> не распространяются на административные правонарушения, предусмотренные статьей 14.9.1 </w:t>
      </w:r>
      <w:r w:rsidR="001426F4" w:rsidRPr="001426F4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Кодекса Российской Федерации об административных правонарушениях от 30.12.2001 № 195-ФЗ</w:t>
      </w:r>
      <w:r w:rsidRPr="00126E22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ar-SA"/>
        </w:rPr>
        <w:t>.</w:t>
      </w:r>
    </w:p>
    <w:p w:rsidR="000745F0" w:rsidRPr="000745F0" w:rsidRDefault="000745F0" w:rsidP="000745F0"/>
    <w:p w:rsidR="00CA6DFF" w:rsidRPr="00126E22" w:rsidRDefault="00CA6DFF" w:rsidP="00024530">
      <w:pPr>
        <w:pStyle w:val="ConsPlusDocLis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E22">
        <w:rPr>
          <w:rFonts w:ascii="Times New Roman" w:hAnsi="Times New Roman" w:cs="Times New Roman"/>
          <w:sz w:val="26"/>
          <w:szCs w:val="26"/>
        </w:rPr>
        <w:t>В соответствии с ч. 5 ст.16 Фе</w:t>
      </w:r>
      <w:r w:rsidR="000745F0">
        <w:rPr>
          <w:rFonts w:ascii="Times New Roman" w:hAnsi="Times New Roman" w:cs="Times New Roman"/>
          <w:sz w:val="26"/>
          <w:szCs w:val="26"/>
        </w:rPr>
        <w:t xml:space="preserve">дерального закона от 27.07.2010 </w:t>
      </w:r>
      <w:r w:rsidRPr="00126E22">
        <w:rPr>
          <w:rFonts w:ascii="Times New Roman" w:hAnsi="Times New Roman" w:cs="Times New Roman"/>
          <w:sz w:val="26"/>
          <w:szCs w:val="26"/>
        </w:rPr>
        <w:t>№</w:t>
      </w:r>
      <w:r w:rsidRPr="00126E22">
        <w:rPr>
          <w:rFonts w:ascii="Times New Roman" w:hAnsi="Times New Roman" w:cs="Times New Roman"/>
          <w:color w:val="FFFFFF"/>
          <w:sz w:val="26"/>
          <w:szCs w:val="26"/>
        </w:rPr>
        <w:t>-</w:t>
      </w:r>
      <w:r w:rsidRPr="00126E22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</w:t>
      </w:r>
      <w:r w:rsidR="00024530">
        <w:rPr>
          <w:rFonts w:ascii="Times New Roman" w:hAnsi="Times New Roman" w:cs="Times New Roman"/>
          <w:sz w:val="26"/>
          <w:szCs w:val="26"/>
        </w:rPr>
        <w:t>твенных и муниципальных услуг» м</w:t>
      </w:r>
      <w:r w:rsidRPr="00126E22">
        <w:rPr>
          <w:rFonts w:ascii="Times New Roman" w:hAnsi="Times New Roman" w:cs="Times New Roman"/>
          <w:sz w:val="26"/>
          <w:szCs w:val="26"/>
        </w:rPr>
        <w:t xml:space="preserve">ногофункциональный центр, его работники, организации, указанные </w:t>
      </w:r>
      <w:r w:rsidRPr="00126E2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401" w:history="1">
        <w:r w:rsidRPr="00024530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>ч</w:t>
        </w:r>
        <w:r w:rsidR="00024530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асти </w:t>
        </w:r>
        <w:r w:rsidRPr="001426F4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>1.1</w:t>
        </w:r>
      </w:hyperlink>
      <w:r w:rsidRPr="00126E22">
        <w:rPr>
          <w:rFonts w:ascii="Times New Roman" w:hAnsi="Times New Roman" w:cs="Times New Roman"/>
          <w:color w:val="000000"/>
          <w:sz w:val="26"/>
          <w:szCs w:val="26"/>
        </w:rPr>
        <w:t xml:space="preserve"> ст</w:t>
      </w:r>
      <w:r w:rsidR="00024530">
        <w:rPr>
          <w:rFonts w:ascii="Times New Roman" w:hAnsi="Times New Roman" w:cs="Times New Roman"/>
          <w:color w:val="000000"/>
          <w:sz w:val="26"/>
          <w:szCs w:val="26"/>
        </w:rPr>
        <w:t>атьи</w:t>
      </w:r>
      <w:r w:rsidRPr="00126E22">
        <w:rPr>
          <w:rFonts w:ascii="Times New Roman" w:hAnsi="Times New Roman" w:cs="Times New Roman"/>
          <w:color w:val="000000"/>
          <w:sz w:val="26"/>
          <w:szCs w:val="26"/>
        </w:rPr>
        <w:t xml:space="preserve"> 16 Фе</w:t>
      </w:r>
      <w:r w:rsidR="000745F0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дерального закона от 27.07.2010 </w:t>
      </w:r>
      <w:r w:rsidRPr="00126E22">
        <w:rPr>
          <w:rFonts w:ascii="Times New Roman" w:hAnsi="Times New Roman" w:cs="Times New Roman"/>
          <w:color w:val="000000"/>
          <w:sz w:val="26"/>
          <w:szCs w:val="26"/>
        </w:rPr>
        <w:t>№-210-ФЗ, и их работники несут ответственность</w:t>
      </w:r>
      <w:r w:rsidRPr="00126E22">
        <w:rPr>
          <w:rFonts w:ascii="Times New Roman" w:hAnsi="Times New Roman" w:cs="Times New Roman"/>
          <w:sz w:val="26"/>
          <w:szCs w:val="26"/>
        </w:rPr>
        <w:t>, установленную законодательством Российской Федерации:</w:t>
      </w:r>
    </w:p>
    <w:p w:rsidR="00024530" w:rsidRPr="00024530" w:rsidRDefault="00024530" w:rsidP="00024530">
      <w:pPr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hi-IN" w:bidi="hi-IN"/>
        </w:rPr>
      </w:pPr>
      <w:r w:rsidRPr="00024530">
        <w:rPr>
          <w:rFonts w:ascii="Times New Roman" w:eastAsia="Arial" w:hAnsi="Times New Roman" w:cs="Times New Roman"/>
          <w:sz w:val="26"/>
          <w:szCs w:val="26"/>
          <w:lang w:eastAsia="hi-IN" w:bidi="hi-IN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</w:p>
    <w:p w:rsidR="00024530" w:rsidRPr="00024530" w:rsidRDefault="00024530" w:rsidP="00024530">
      <w:pPr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hi-IN" w:bidi="hi-IN"/>
        </w:rPr>
      </w:pPr>
      <w:r w:rsidRPr="00024530">
        <w:rPr>
          <w:rFonts w:ascii="Times New Roman" w:eastAsia="Arial" w:hAnsi="Times New Roman" w:cs="Times New Roman"/>
          <w:sz w:val="26"/>
          <w:szCs w:val="26"/>
          <w:lang w:eastAsia="hi-IN" w:bidi="hi-IN"/>
        </w:rP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</w:p>
    <w:p w:rsidR="00CA6DFF" w:rsidRPr="00EE0FDE" w:rsidRDefault="00024530" w:rsidP="00EE0FDE">
      <w:pPr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hi-IN" w:bidi="hi-IN"/>
        </w:rPr>
      </w:pPr>
      <w:r w:rsidRPr="00024530">
        <w:rPr>
          <w:rFonts w:ascii="Times New Roman" w:eastAsia="Arial" w:hAnsi="Times New Roman" w:cs="Times New Roman"/>
          <w:sz w:val="26"/>
          <w:szCs w:val="26"/>
          <w:lang w:eastAsia="hi-IN" w:bidi="hi-I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0" w:name="_GoBack"/>
      <w:bookmarkEnd w:id="0"/>
    </w:p>
    <w:sectPr w:rsidR="00CA6DFF" w:rsidRPr="00EE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A4" w:rsidRDefault="00BA3FA4">
      <w:pPr>
        <w:spacing w:after="0" w:line="240" w:lineRule="auto"/>
      </w:pPr>
      <w:r>
        <w:separator/>
      </w:r>
    </w:p>
  </w:endnote>
  <w:endnote w:type="continuationSeparator" w:id="0">
    <w:p w:rsidR="00BA3FA4" w:rsidRDefault="00BA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A4" w:rsidRDefault="00BA3FA4">
      <w:pPr>
        <w:spacing w:after="0" w:line="240" w:lineRule="auto"/>
      </w:pPr>
      <w:r>
        <w:separator/>
      </w:r>
    </w:p>
  </w:footnote>
  <w:footnote w:type="continuationSeparator" w:id="0">
    <w:p w:rsidR="00BA3FA4" w:rsidRDefault="00BA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24530"/>
    <w:rsid w:val="00066607"/>
    <w:rsid w:val="000745F0"/>
    <w:rsid w:val="00093224"/>
    <w:rsid w:val="000E520C"/>
    <w:rsid w:val="00100607"/>
    <w:rsid w:val="00114D69"/>
    <w:rsid w:val="001162CE"/>
    <w:rsid w:val="00126E22"/>
    <w:rsid w:val="001426F4"/>
    <w:rsid w:val="001D034F"/>
    <w:rsid w:val="00203BC8"/>
    <w:rsid w:val="00221F8D"/>
    <w:rsid w:val="002562FA"/>
    <w:rsid w:val="002B0C2F"/>
    <w:rsid w:val="0032530E"/>
    <w:rsid w:val="00351272"/>
    <w:rsid w:val="003F16B3"/>
    <w:rsid w:val="00456941"/>
    <w:rsid w:val="00494DD4"/>
    <w:rsid w:val="004A3308"/>
    <w:rsid w:val="004B1442"/>
    <w:rsid w:val="004C6715"/>
    <w:rsid w:val="004C672F"/>
    <w:rsid w:val="00502B56"/>
    <w:rsid w:val="00516C69"/>
    <w:rsid w:val="0052310D"/>
    <w:rsid w:val="005535D7"/>
    <w:rsid w:val="00560C42"/>
    <w:rsid w:val="005778BF"/>
    <w:rsid w:val="00645E8D"/>
    <w:rsid w:val="006906B1"/>
    <w:rsid w:val="00702892"/>
    <w:rsid w:val="00704B0F"/>
    <w:rsid w:val="00794134"/>
    <w:rsid w:val="007B10FF"/>
    <w:rsid w:val="007C1575"/>
    <w:rsid w:val="00831FD8"/>
    <w:rsid w:val="00846CC9"/>
    <w:rsid w:val="008618E5"/>
    <w:rsid w:val="00866287"/>
    <w:rsid w:val="008C50D3"/>
    <w:rsid w:val="008D6CA5"/>
    <w:rsid w:val="009329E6"/>
    <w:rsid w:val="00A56A15"/>
    <w:rsid w:val="00A67395"/>
    <w:rsid w:val="00AF64B1"/>
    <w:rsid w:val="00B2486F"/>
    <w:rsid w:val="00B93849"/>
    <w:rsid w:val="00BA3FA4"/>
    <w:rsid w:val="00BD31B0"/>
    <w:rsid w:val="00C47B85"/>
    <w:rsid w:val="00C75CD7"/>
    <w:rsid w:val="00C805A9"/>
    <w:rsid w:val="00C9326F"/>
    <w:rsid w:val="00CA4C3B"/>
    <w:rsid w:val="00CA6DFF"/>
    <w:rsid w:val="00CC2FE5"/>
    <w:rsid w:val="00D36021"/>
    <w:rsid w:val="00D55A07"/>
    <w:rsid w:val="00D76F6B"/>
    <w:rsid w:val="00DF251D"/>
    <w:rsid w:val="00E31EBD"/>
    <w:rsid w:val="00E366A2"/>
    <w:rsid w:val="00E77150"/>
    <w:rsid w:val="00E85B08"/>
    <w:rsid w:val="00EE0FDE"/>
    <w:rsid w:val="00F07532"/>
    <w:rsid w:val="00F100B5"/>
    <w:rsid w:val="00F13468"/>
    <w:rsid w:val="00F17DD0"/>
    <w:rsid w:val="00F21919"/>
    <w:rsid w:val="00F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63A06-1619-498F-B88A-F767458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D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FF"/>
  </w:style>
  <w:style w:type="paragraph" w:styleId="a8">
    <w:name w:val="footer"/>
    <w:basedOn w:val="a"/>
    <w:link w:val="a9"/>
    <w:uiPriority w:val="99"/>
    <w:unhideWhenUsed/>
    <w:rsid w:val="00CA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FF"/>
  </w:style>
  <w:style w:type="character" w:customStyle="1" w:styleId="10">
    <w:name w:val="Заголовок 1 Знак"/>
    <w:basedOn w:val="a0"/>
    <w:link w:val="1"/>
    <w:uiPriority w:val="99"/>
    <w:rsid w:val="00CA6DFF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a">
    <w:name w:val="Hyperlink"/>
    <w:rsid w:val="00CA6DFF"/>
    <w:rPr>
      <w:color w:val="000080"/>
      <w:u w:val="single"/>
    </w:rPr>
  </w:style>
  <w:style w:type="paragraph" w:customStyle="1" w:styleId="ConsPlusDocList">
    <w:name w:val="ConsPlusDocList"/>
    <w:next w:val="a"/>
    <w:rsid w:val="00CA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F911-FEA2-415D-B599-C384E07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Марина Владимировна</dc:creator>
  <cp:keywords/>
  <dc:description/>
  <cp:lastModifiedBy>Ковригина Лидия Александровна</cp:lastModifiedBy>
  <cp:revision>2</cp:revision>
  <dcterms:created xsi:type="dcterms:W3CDTF">2017-10-09T09:48:00Z</dcterms:created>
  <dcterms:modified xsi:type="dcterms:W3CDTF">2017-10-09T09:48:00Z</dcterms:modified>
</cp:coreProperties>
</file>