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FB" w:rsidRDefault="008D7AFB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ИНФОРМАЦИЯ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об обращениях граждан, поступивших в администрацию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(исполнительно-распорядительный орган)</w:t>
      </w:r>
    </w:p>
    <w:p w:rsidR="0017590A" w:rsidRPr="006B59EF" w:rsidRDefault="0017590A" w:rsidP="00AD2D1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B59EF">
        <w:rPr>
          <w:rFonts w:ascii="Times New Roman" w:hAnsi="Times New Roman"/>
          <w:b/>
          <w:sz w:val="26"/>
          <w:szCs w:val="26"/>
        </w:rPr>
        <w:t>муниципального района «Ферзиковский район» за 20</w:t>
      </w:r>
      <w:r w:rsidR="00AD2D1E">
        <w:rPr>
          <w:rFonts w:ascii="Times New Roman" w:hAnsi="Times New Roman"/>
          <w:b/>
          <w:sz w:val="26"/>
          <w:szCs w:val="26"/>
        </w:rPr>
        <w:t>1</w:t>
      </w:r>
      <w:r w:rsidR="000D33DA">
        <w:rPr>
          <w:rFonts w:ascii="Times New Roman" w:hAnsi="Times New Roman"/>
          <w:b/>
          <w:sz w:val="26"/>
          <w:szCs w:val="26"/>
        </w:rPr>
        <w:t>5</w:t>
      </w:r>
      <w:r w:rsidRPr="006B59EF">
        <w:rPr>
          <w:rFonts w:ascii="Times New Roman" w:hAnsi="Times New Roman"/>
          <w:b/>
          <w:sz w:val="26"/>
          <w:szCs w:val="26"/>
        </w:rPr>
        <w:t xml:space="preserve"> год</w:t>
      </w:r>
      <w:r w:rsidR="00AD2D1E">
        <w:rPr>
          <w:rFonts w:ascii="Times New Roman" w:hAnsi="Times New Roman"/>
          <w:b/>
          <w:sz w:val="26"/>
          <w:szCs w:val="26"/>
        </w:rPr>
        <w:t>.</w:t>
      </w:r>
    </w:p>
    <w:p w:rsidR="0017590A" w:rsidRPr="006B59EF" w:rsidRDefault="0017590A" w:rsidP="00AD2D1E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17590A" w:rsidRDefault="0017590A" w:rsidP="008A37B9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За 20</w:t>
      </w:r>
      <w:r w:rsidR="006A2AC5" w:rsidRPr="006B59EF">
        <w:rPr>
          <w:rFonts w:ascii="Times New Roman" w:hAnsi="Times New Roman"/>
          <w:sz w:val="26"/>
          <w:szCs w:val="26"/>
        </w:rPr>
        <w:t>1</w:t>
      </w:r>
      <w:r w:rsidR="000D33DA">
        <w:rPr>
          <w:rFonts w:ascii="Times New Roman" w:hAnsi="Times New Roman"/>
          <w:sz w:val="26"/>
          <w:szCs w:val="26"/>
        </w:rPr>
        <w:t>5</w:t>
      </w:r>
      <w:r w:rsidRPr="006B59EF">
        <w:rPr>
          <w:rFonts w:ascii="Times New Roman" w:hAnsi="Times New Roman"/>
          <w:sz w:val="26"/>
          <w:szCs w:val="26"/>
        </w:rPr>
        <w:t xml:space="preserve"> год в администрацию (исполнительно-распорядительный орган) муниципального района «Ферзиковский район» поступило </w:t>
      </w:r>
      <w:r w:rsidR="008A37B9">
        <w:rPr>
          <w:rFonts w:ascii="Times New Roman" w:hAnsi="Times New Roman"/>
          <w:sz w:val="26"/>
          <w:szCs w:val="26"/>
        </w:rPr>
        <w:t>412</w:t>
      </w:r>
      <w:r w:rsidR="00CE69C3">
        <w:rPr>
          <w:rFonts w:ascii="Times New Roman" w:hAnsi="Times New Roman"/>
          <w:sz w:val="26"/>
          <w:szCs w:val="26"/>
        </w:rPr>
        <w:t xml:space="preserve"> обращений, </w:t>
      </w:r>
      <w:r w:rsidR="00A124AE">
        <w:rPr>
          <w:rFonts w:ascii="Times New Roman" w:hAnsi="Times New Roman"/>
          <w:sz w:val="26"/>
          <w:szCs w:val="26"/>
        </w:rPr>
        <w:t>(соответствует 201</w:t>
      </w:r>
      <w:r w:rsidR="000D33DA">
        <w:rPr>
          <w:rFonts w:ascii="Times New Roman" w:hAnsi="Times New Roman"/>
          <w:sz w:val="26"/>
          <w:szCs w:val="26"/>
        </w:rPr>
        <w:t>4</w:t>
      </w:r>
      <w:r w:rsidR="00CE69C3">
        <w:rPr>
          <w:rFonts w:ascii="Times New Roman" w:hAnsi="Times New Roman"/>
          <w:sz w:val="26"/>
          <w:szCs w:val="26"/>
        </w:rPr>
        <w:t xml:space="preserve"> году –</w:t>
      </w:r>
      <w:r w:rsidR="008E2926">
        <w:rPr>
          <w:rFonts w:ascii="Times New Roman" w:hAnsi="Times New Roman"/>
          <w:sz w:val="26"/>
          <w:szCs w:val="26"/>
        </w:rPr>
        <w:t xml:space="preserve"> </w:t>
      </w:r>
      <w:r w:rsidR="008A37B9">
        <w:rPr>
          <w:rFonts w:ascii="Times New Roman" w:hAnsi="Times New Roman"/>
          <w:sz w:val="26"/>
          <w:szCs w:val="26"/>
        </w:rPr>
        <w:t>480</w:t>
      </w:r>
      <w:r w:rsidR="00CE69C3">
        <w:rPr>
          <w:rFonts w:ascii="Times New Roman" w:hAnsi="Times New Roman"/>
          <w:sz w:val="26"/>
          <w:szCs w:val="26"/>
        </w:rPr>
        <w:t>)</w:t>
      </w:r>
      <w:r w:rsidR="00A124AE">
        <w:rPr>
          <w:rFonts w:ascii="Times New Roman" w:hAnsi="Times New Roman"/>
          <w:sz w:val="26"/>
          <w:szCs w:val="26"/>
        </w:rPr>
        <w:t xml:space="preserve"> из которых</w:t>
      </w:r>
      <w:r w:rsidRPr="006B59EF">
        <w:rPr>
          <w:rFonts w:ascii="Times New Roman" w:hAnsi="Times New Roman"/>
          <w:sz w:val="26"/>
          <w:szCs w:val="26"/>
        </w:rPr>
        <w:t>:</w:t>
      </w:r>
    </w:p>
    <w:p w:rsidR="008A37B9" w:rsidRDefault="008A37B9" w:rsidP="008A37B9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них от граждан поступило 126 обращений</w:t>
      </w:r>
      <w:r w:rsidR="00171E9E">
        <w:rPr>
          <w:rFonts w:ascii="Times New Roman" w:hAnsi="Times New Roman"/>
          <w:sz w:val="26"/>
          <w:szCs w:val="26"/>
        </w:rPr>
        <w:t xml:space="preserve"> ил 30,6%</w:t>
      </w:r>
      <w:r>
        <w:rPr>
          <w:rFonts w:ascii="Times New Roman" w:hAnsi="Times New Roman"/>
          <w:sz w:val="26"/>
          <w:szCs w:val="26"/>
        </w:rPr>
        <w:t>, в том числе 44 обращения поступило по каналам электронной почты или 10,6% (соответств</w:t>
      </w:r>
      <w:r w:rsidR="005A6A80">
        <w:rPr>
          <w:rFonts w:ascii="Times New Roman" w:hAnsi="Times New Roman"/>
          <w:sz w:val="26"/>
          <w:szCs w:val="26"/>
        </w:rPr>
        <w:t>енно</w:t>
      </w:r>
      <w:r>
        <w:rPr>
          <w:rFonts w:ascii="Times New Roman" w:hAnsi="Times New Roman"/>
          <w:sz w:val="26"/>
          <w:szCs w:val="26"/>
        </w:rPr>
        <w:t xml:space="preserve"> 2014 год - 2) от общего количества обращений. Коллективных обращений поступило 40 (</w:t>
      </w:r>
      <w:r w:rsidR="005A6A80">
        <w:rPr>
          <w:rFonts w:ascii="Times New Roman" w:hAnsi="Times New Roman"/>
          <w:sz w:val="26"/>
          <w:szCs w:val="26"/>
        </w:rPr>
        <w:t>соответственно</w:t>
      </w:r>
      <w:r w:rsidR="005A6A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2014 году - 24) или 9,7% от общего количества, повторных обращений 10 (</w:t>
      </w:r>
      <w:r w:rsidR="005A6A80">
        <w:rPr>
          <w:rFonts w:ascii="Times New Roman" w:hAnsi="Times New Roman"/>
          <w:sz w:val="26"/>
          <w:szCs w:val="26"/>
        </w:rPr>
        <w:t>соответственно</w:t>
      </w:r>
      <w:r w:rsidR="005A6A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2014 году - 20) или 2,5%</w:t>
      </w:r>
      <w:r w:rsidR="001B2D13">
        <w:rPr>
          <w:rFonts w:ascii="Times New Roman" w:hAnsi="Times New Roman"/>
          <w:sz w:val="26"/>
          <w:szCs w:val="26"/>
        </w:rPr>
        <w:t>, находятся на рассмотрении на 01.01.2016 года 56 обращений или 13,5% от общего количества.</w:t>
      </w:r>
    </w:p>
    <w:p w:rsidR="0017590A" w:rsidRDefault="0017590A" w:rsidP="00171E9E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Из поступивших в администрацию (исполнительно-распорядительный орган) муниципального р</w:t>
      </w:r>
      <w:r w:rsidR="00C55B13" w:rsidRPr="006B59EF">
        <w:rPr>
          <w:rFonts w:ascii="Times New Roman" w:hAnsi="Times New Roman"/>
          <w:sz w:val="26"/>
          <w:szCs w:val="26"/>
        </w:rPr>
        <w:t>айона «Ферзиковский район» в</w:t>
      </w:r>
      <w:r w:rsidR="00A124AE">
        <w:rPr>
          <w:rFonts w:ascii="Times New Roman" w:hAnsi="Times New Roman"/>
          <w:sz w:val="26"/>
          <w:szCs w:val="26"/>
        </w:rPr>
        <w:t xml:space="preserve"> </w:t>
      </w:r>
      <w:r w:rsidR="00C55B13" w:rsidRPr="006B59EF">
        <w:rPr>
          <w:rFonts w:ascii="Times New Roman" w:hAnsi="Times New Roman"/>
          <w:sz w:val="26"/>
          <w:szCs w:val="26"/>
        </w:rPr>
        <w:t>20</w:t>
      </w:r>
      <w:r w:rsidR="000D33DA">
        <w:rPr>
          <w:rFonts w:ascii="Times New Roman" w:hAnsi="Times New Roman"/>
          <w:sz w:val="26"/>
          <w:szCs w:val="26"/>
        </w:rPr>
        <w:t>15</w:t>
      </w:r>
      <w:r w:rsidRPr="006B59EF">
        <w:rPr>
          <w:rFonts w:ascii="Times New Roman" w:hAnsi="Times New Roman"/>
          <w:sz w:val="26"/>
          <w:szCs w:val="26"/>
        </w:rPr>
        <w:t xml:space="preserve"> го</w:t>
      </w:r>
      <w:r w:rsidR="00171E9E">
        <w:rPr>
          <w:rFonts w:ascii="Times New Roman" w:hAnsi="Times New Roman"/>
          <w:sz w:val="26"/>
          <w:szCs w:val="26"/>
        </w:rPr>
        <w:t xml:space="preserve">ду письменных обращений граждан </w:t>
      </w:r>
      <w:r w:rsidRPr="006B59EF">
        <w:rPr>
          <w:rFonts w:ascii="Times New Roman" w:hAnsi="Times New Roman"/>
          <w:sz w:val="26"/>
          <w:szCs w:val="26"/>
        </w:rPr>
        <w:t xml:space="preserve">в </w:t>
      </w:r>
      <w:r w:rsidR="00A124AE">
        <w:rPr>
          <w:rFonts w:ascii="Times New Roman" w:hAnsi="Times New Roman"/>
          <w:sz w:val="26"/>
          <w:szCs w:val="26"/>
        </w:rPr>
        <w:t>порядке переадресации получено</w:t>
      </w:r>
      <w:r w:rsidR="00171E9E">
        <w:rPr>
          <w:rFonts w:ascii="Times New Roman" w:hAnsi="Times New Roman"/>
          <w:sz w:val="26"/>
          <w:szCs w:val="26"/>
        </w:rPr>
        <w:t xml:space="preserve"> 96</w:t>
      </w:r>
      <w:r w:rsidR="000E685D" w:rsidRPr="006B59EF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или 23,3%, в том числе</w:t>
      </w:r>
      <w:r w:rsidRPr="006B59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B59EF">
        <w:rPr>
          <w:rFonts w:ascii="Times New Roman" w:hAnsi="Times New Roman"/>
          <w:sz w:val="26"/>
          <w:szCs w:val="26"/>
        </w:rPr>
        <w:t>через</w:t>
      </w:r>
      <w:proofErr w:type="gramEnd"/>
      <w:r w:rsidRPr="006B59EF">
        <w:rPr>
          <w:rFonts w:ascii="Times New Roman" w:hAnsi="Times New Roman"/>
          <w:sz w:val="26"/>
          <w:szCs w:val="26"/>
        </w:rPr>
        <w:t>:</w:t>
      </w:r>
    </w:p>
    <w:p w:rsidR="007427D9" w:rsidRDefault="008E2926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Приемную</w:t>
      </w:r>
      <w:r w:rsidR="008F07D1" w:rsidRPr="008F07D1">
        <w:rPr>
          <w:rFonts w:ascii="Times New Roman" w:hAnsi="Times New Roman"/>
          <w:sz w:val="26"/>
          <w:szCs w:val="26"/>
        </w:rPr>
        <w:t xml:space="preserve"> </w:t>
      </w:r>
      <w:r w:rsidR="00CE69C3">
        <w:rPr>
          <w:rFonts w:ascii="Times New Roman" w:hAnsi="Times New Roman"/>
          <w:sz w:val="26"/>
          <w:szCs w:val="26"/>
        </w:rPr>
        <w:t>Президента РФ</w:t>
      </w:r>
      <w:r>
        <w:rPr>
          <w:rFonts w:ascii="Times New Roman" w:hAnsi="Times New Roman"/>
          <w:sz w:val="26"/>
          <w:szCs w:val="26"/>
        </w:rPr>
        <w:t xml:space="preserve"> в Калужской области</w:t>
      </w:r>
      <w:r w:rsidR="00CE69C3">
        <w:rPr>
          <w:rFonts w:ascii="Times New Roman" w:hAnsi="Times New Roman"/>
          <w:sz w:val="26"/>
          <w:szCs w:val="26"/>
        </w:rPr>
        <w:t xml:space="preserve"> – </w:t>
      </w:r>
      <w:r w:rsidR="00011225">
        <w:rPr>
          <w:rFonts w:ascii="Times New Roman" w:hAnsi="Times New Roman"/>
          <w:sz w:val="26"/>
          <w:szCs w:val="26"/>
        </w:rPr>
        <w:t>7</w:t>
      </w:r>
      <w:r w:rsidR="00993C5E">
        <w:rPr>
          <w:rFonts w:ascii="Times New Roman" w:hAnsi="Times New Roman"/>
          <w:sz w:val="26"/>
          <w:szCs w:val="26"/>
        </w:rPr>
        <w:t xml:space="preserve"> или 1,7%</w:t>
      </w:r>
      <w:r w:rsidR="00171E9E">
        <w:rPr>
          <w:rFonts w:ascii="Times New Roman" w:hAnsi="Times New Roman"/>
          <w:sz w:val="26"/>
          <w:szCs w:val="26"/>
        </w:rPr>
        <w:t xml:space="preserve"> 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17590A" w:rsidRDefault="0017590A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>Администрацию Губернатора Калужской области –</w:t>
      </w:r>
      <w:r w:rsidR="00CE69C3">
        <w:rPr>
          <w:rFonts w:ascii="Times New Roman" w:hAnsi="Times New Roman"/>
          <w:sz w:val="26"/>
          <w:szCs w:val="26"/>
        </w:rPr>
        <w:t xml:space="preserve"> </w:t>
      </w:r>
      <w:r w:rsidR="008A37B9">
        <w:rPr>
          <w:rFonts w:ascii="Times New Roman" w:hAnsi="Times New Roman"/>
          <w:sz w:val="26"/>
          <w:szCs w:val="26"/>
        </w:rPr>
        <w:t>58</w:t>
      </w:r>
      <w:r w:rsidR="00993C5E">
        <w:rPr>
          <w:rFonts w:ascii="Times New Roman" w:hAnsi="Times New Roman"/>
          <w:sz w:val="26"/>
          <w:szCs w:val="26"/>
        </w:rPr>
        <w:t xml:space="preserve"> или 14%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BE2555" w:rsidRDefault="00BE2555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Военный комиссариат – 1</w:t>
      </w:r>
      <w:r w:rsidR="00993C5E">
        <w:rPr>
          <w:rFonts w:ascii="Times New Roman" w:hAnsi="Times New Roman"/>
          <w:sz w:val="26"/>
          <w:szCs w:val="26"/>
        </w:rPr>
        <w:t xml:space="preserve"> 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>
        <w:rPr>
          <w:rFonts w:ascii="Times New Roman" w:hAnsi="Times New Roman"/>
          <w:sz w:val="26"/>
          <w:szCs w:val="26"/>
        </w:rPr>
        <w:t>;</w:t>
      </w:r>
    </w:p>
    <w:p w:rsidR="00011225" w:rsidRPr="006B59EF" w:rsidRDefault="00011225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Государственная жилищная инспекция – 2</w:t>
      </w:r>
      <w:r w:rsidR="00993C5E">
        <w:rPr>
          <w:rFonts w:ascii="Times New Roman" w:hAnsi="Times New Roman"/>
          <w:sz w:val="26"/>
          <w:szCs w:val="26"/>
        </w:rPr>
        <w:t xml:space="preserve"> или 0,5%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17590A" w:rsidRPr="006B59EF" w:rsidRDefault="0017590A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</w:t>
      </w:r>
      <w:r w:rsidR="00E13A38">
        <w:rPr>
          <w:rFonts w:ascii="Times New Roman" w:hAnsi="Times New Roman"/>
          <w:sz w:val="26"/>
          <w:szCs w:val="26"/>
        </w:rPr>
        <w:t xml:space="preserve">труда и социальной защиты </w:t>
      </w:r>
      <w:r w:rsidRPr="006B59EF">
        <w:rPr>
          <w:rFonts w:ascii="Times New Roman" w:hAnsi="Times New Roman"/>
          <w:sz w:val="26"/>
          <w:szCs w:val="26"/>
        </w:rPr>
        <w:t xml:space="preserve">Калужской области – </w:t>
      </w:r>
      <w:r w:rsidR="00E13A38">
        <w:rPr>
          <w:rFonts w:ascii="Times New Roman" w:hAnsi="Times New Roman"/>
          <w:sz w:val="26"/>
          <w:szCs w:val="26"/>
        </w:rPr>
        <w:t>4</w:t>
      </w:r>
      <w:r w:rsidR="00171E9E">
        <w:rPr>
          <w:rFonts w:ascii="Times New Roman" w:hAnsi="Times New Roman"/>
          <w:sz w:val="26"/>
          <w:szCs w:val="26"/>
        </w:rPr>
        <w:t xml:space="preserve"> или 0,9%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17590A" w:rsidRDefault="0017590A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строительства, жилищно-коммунального хозяйства Калужской области – </w:t>
      </w:r>
      <w:r w:rsidR="00011225">
        <w:rPr>
          <w:rFonts w:ascii="Times New Roman" w:hAnsi="Times New Roman"/>
          <w:sz w:val="26"/>
          <w:szCs w:val="26"/>
        </w:rPr>
        <w:t>7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или 1,7%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011225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Городская Управа города Калуги – 1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011225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Роспотребнадзор</w:t>
      </w:r>
      <w:proofErr w:type="spellEnd"/>
      <w:r>
        <w:rPr>
          <w:rFonts w:ascii="Times New Roman" w:hAnsi="Times New Roman"/>
          <w:sz w:val="26"/>
          <w:szCs w:val="26"/>
        </w:rPr>
        <w:t xml:space="preserve"> по Калужской области – 1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011225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культуры Калужской области – 2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0,5%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011225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промышленности и малого предпринимательства Калужской области – 1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обращений;</w:t>
      </w:r>
    </w:p>
    <w:p w:rsidR="00011225" w:rsidRPr="006B59EF" w:rsidRDefault="0001122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Инспекция Государственного строительного надзора Калужской области – 1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17590A" w:rsidRPr="006B59EF" w:rsidRDefault="0017590A" w:rsidP="00AD2D1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B59EF">
        <w:rPr>
          <w:rFonts w:ascii="Times New Roman" w:hAnsi="Times New Roman"/>
          <w:sz w:val="26"/>
          <w:szCs w:val="26"/>
        </w:rPr>
        <w:t xml:space="preserve">Министерство дорожного хозяйства Калужской области – </w:t>
      </w:r>
      <w:r w:rsidR="00011225">
        <w:rPr>
          <w:rFonts w:ascii="Times New Roman" w:hAnsi="Times New Roman"/>
          <w:sz w:val="26"/>
          <w:szCs w:val="26"/>
        </w:rPr>
        <w:t>6</w:t>
      </w:r>
      <w:r w:rsidR="00171E9E">
        <w:rPr>
          <w:rFonts w:ascii="Times New Roman" w:hAnsi="Times New Roman"/>
          <w:sz w:val="26"/>
          <w:szCs w:val="26"/>
        </w:rPr>
        <w:t xml:space="preserve"> или 1,5%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7427D9" w:rsidRPr="006B59EF">
        <w:rPr>
          <w:rFonts w:ascii="Times New Roman" w:hAnsi="Times New Roman"/>
          <w:sz w:val="26"/>
          <w:szCs w:val="26"/>
        </w:rPr>
        <w:t>;</w:t>
      </w:r>
    </w:p>
    <w:p w:rsidR="0017590A" w:rsidRPr="006B59EF" w:rsidRDefault="008E2926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7590A" w:rsidRPr="006B59EF">
        <w:rPr>
          <w:rFonts w:ascii="Times New Roman" w:hAnsi="Times New Roman"/>
          <w:sz w:val="26"/>
          <w:szCs w:val="26"/>
        </w:rPr>
        <w:t>рок</w:t>
      </w:r>
      <w:r w:rsidR="00660682">
        <w:rPr>
          <w:rFonts w:ascii="Times New Roman" w:hAnsi="Times New Roman"/>
          <w:sz w:val="26"/>
          <w:szCs w:val="26"/>
        </w:rPr>
        <w:t>уратуры</w:t>
      </w:r>
      <w:r w:rsidR="00CE69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9C3">
        <w:rPr>
          <w:rFonts w:ascii="Times New Roman" w:hAnsi="Times New Roman"/>
          <w:sz w:val="26"/>
          <w:szCs w:val="26"/>
        </w:rPr>
        <w:t>Ферзиковского</w:t>
      </w:r>
      <w:proofErr w:type="spellEnd"/>
      <w:r w:rsidR="00CE69C3">
        <w:rPr>
          <w:rFonts w:ascii="Times New Roman" w:hAnsi="Times New Roman"/>
          <w:sz w:val="26"/>
          <w:szCs w:val="26"/>
        </w:rPr>
        <w:t xml:space="preserve"> р</w:t>
      </w:r>
      <w:r w:rsidR="00E13A38">
        <w:rPr>
          <w:rFonts w:ascii="Times New Roman" w:hAnsi="Times New Roman"/>
          <w:sz w:val="26"/>
          <w:szCs w:val="26"/>
        </w:rPr>
        <w:t>айона – 1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BE2555" w:rsidRDefault="00BE255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</w:t>
      </w:r>
      <w:r w:rsidR="00E13A38">
        <w:rPr>
          <w:rFonts w:ascii="Times New Roman" w:hAnsi="Times New Roman"/>
          <w:sz w:val="26"/>
          <w:szCs w:val="26"/>
        </w:rPr>
        <w:t xml:space="preserve"> Федеральной службы в</w:t>
      </w:r>
      <w:r>
        <w:rPr>
          <w:rFonts w:ascii="Times New Roman" w:hAnsi="Times New Roman"/>
          <w:sz w:val="26"/>
          <w:szCs w:val="26"/>
        </w:rPr>
        <w:t xml:space="preserve"> сфере защиты прав потребителей и благополучия человека – 1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BE2555" w:rsidRDefault="00BE2555" w:rsidP="008D7AFB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Городская Управа города Калуги –</w:t>
      </w:r>
      <w:r w:rsidR="00660682">
        <w:rPr>
          <w:rFonts w:ascii="Times New Roman" w:hAnsi="Times New Roman"/>
          <w:sz w:val="26"/>
          <w:szCs w:val="26"/>
        </w:rPr>
        <w:t xml:space="preserve"> 2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0,5%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;</w:t>
      </w:r>
    </w:p>
    <w:p w:rsidR="00171E9E" w:rsidRDefault="00660682" w:rsidP="00171E9E">
      <w:pPr>
        <w:pStyle w:val="Con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экономического развития Калужской области – 1</w:t>
      </w:r>
      <w:r w:rsidR="00993C5E" w:rsidRPr="00993C5E">
        <w:rPr>
          <w:rFonts w:ascii="Times New Roman" w:hAnsi="Times New Roman"/>
          <w:sz w:val="26"/>
          <w:szCs w:val="26"/>
        </w:rPr>
        <w:t xml:space="preserve"> </w:t>
      </w:r>
      <w:r w:rsidR="00993C5E">
        <w:rPr>
          <w:rFonts w:ascii="Times New Roman" w:hAnsi="Times New Roman"/>
          <w:sz w:val="26"/>
          <w:szCs w:val="26"/>
        </w:rPr>
        <w:t>или 0,2%</w:t>
      </w:r>
      <w:r w:rsidR="00171E9E" w:rsidRPr="00171E9E">
        <w:rPr>
          <w:rFonts w:ascii="Times New Roman" w:hAnsi="Times New Roman"/>
          <w:sz w:val="26"/>
          <w:szCs w:val="26"/>
        </w:rPr>
        <w:t xml:space="preserve"> </w:t>
      </w:r>
      <w:r w:rsidR="00171E9E">
        <w:rPr>
          <w:rFonts w:ascii="Times New Roman" w:hAnsi="Times New Roman"/>
          <w:sz w:val="26"/>
          <w:szCs w:val="26"/>
        </w:rPr>
        <w:t>от общего количества обращений</w:t>
      </w:r>
      <w:r w:rsidR="00993C5E">
        <w:rPr>
          <w:rFonts w:ascii="Times New Roman" w:hAnsi="Times New Roman"/>
          <w:sz w:val="26"/>
          <w:szCs w:val="26"/>
        </w:rPr>
        <w:t>.</w:t>
      </w:r>
    </w:p>
    <w:p w:rsidR="000F24BD" w:rsidRDefault="000F24BD" w:rsidP="000F24BD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E973A6" w:rsidRDefault="00E973A6" w:rsidP="000F24BD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F24BD" w:rsidRDefault="00D0353C" w:rsidP="00D0353C">
      <w:pPr>
        <w:pStyle w:val="ConsNormal"/>
        <w:widowControl/>
        <w:ind w:firstLine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Таблица №1</w:t>
      </w:r>
    </w:p>
    <w:p w:rsidR="000F24BD" w:rsidRPr="000F24BD" w:rsidRDefault="000F24BD" w:rsidP="000F24BD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F24BD">
        <w:rPr>
          <w:rFonts w:ascii="Times New Roman" w:hAnsi="Times New Roman"/>
          <w:b/>
          <w:sz w:val="26"/>
          <w:szCs w:val="26"/>
        </w:rPr>
        <w:t>Поступившие обращения граждан в порядке переадресации из вышестоящих органов государственной власти за 2015 год</w:t>
      </w:r>
    </w:p>
    <w:p w:rsidR="005176A2" w:rsidRDefault="00171E9E" w:rsidP="000F24BD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napToGrid/>
          <w:sz w:val="26"/>
          <w:szCs w:val="26"/>
        </w:rPr>
        <w:drawing>
          <wp:inline distT="0" distB="0" distL="0" distR="0">
            <wp:extent cx="6276975" cy="4857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735F" w:rsidRDefault="0058735F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176A2" w:rsidRDefault="0058735F" w:rsidP="00AD2D1E">
      <w:pPr>
        <w:pStyle w:val="ConsNormal"/>
        <w:widowControl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Распределение обращений граждан в 2015 году с разбивкой по месяцам и в сравнении с аналогичным периодами 2014 года:</w:t>
      </w:r>
      <w:proofErr w:type="gramEnd"/>
    </w:p>
    <w:p w:rsidR="0058735F" w:rsidRPr="00D0353C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  <w:r w:rsidRPr="00D0353C">
        <w:rPr>
          <w:rFonts w:ascii="Times New Roman" w:hAnsi="Times New Roman"/>
          <w:b/>
          <w:sz w:val="26"/>
          <w:szCs w:val="26"/>
        </w:rPr>
        <w:t>Таблица №2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3"/>
        <w:gridCol w:w="2193"/>
        <w:gridCol w:w="2193"/>
        <w:gridCol w:w="2193"/>
        <w:gridCol w:w="2193"/>
      </w:tblGrid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Количество обращений за 2015 год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Процент от общего количества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Количество обращений за 2014 год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Процент от общего количества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9,2%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50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10,4%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7,8%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34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7%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9,7%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46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9,6%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13,8%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51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10,6%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8,7%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44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9,1%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5,6%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40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8,3%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7,3%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36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7,5%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7%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46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9,6%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16,5%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53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11%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3,4%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55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11,5%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4,1%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6,6%</w:t>
            </w:r>
          </w:p>
        </w:tc>
      </w:tr>
      <w:tr w:rsidR="0058735F" w:rsidRPr="0058735F" w:rsidTr="0058735F">
        <w:tc>
          <w:tcPr>
            <w:tcW w:w="1259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735F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FF0000"/>
                <w:sz w:val="24"/>
                <w:szCs w:val="24"/>
              </w:rPr>
              <w:t>6,8%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2193" w:type="dxa"/>
          </w:tcPr>
          <w:p w:rsidR="0058735F" w:rsidRPr="0058735F" w:rsidRDefault="0058735F" w:rsidP="0058735F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8735F">
              <w:rPr>
                <w:rFonts w:ascii="Times New Roman" w:hAnsi="Times New Roman"/>
                <w:color w:val="7030A0"/>
                <w:sz w:val="24"/>
                <w:szCs w:val="24"/>
              </w:rPr>
              <w:t>5,4%</w:t>
            </w:r>
          </w:p>
        </w:tc>
      </w:tr>
    </w:tbl>
    <w:p w:rsidR="0058735F" w:rsidRDefault="0058735F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73A6" w:rsidRDefault="00E973A6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73A6" w:rsidRDefault="00E973A6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353C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Таблица №3</w:t>
      </w:r>
    </w:p>
    <w:p w:rsidR="00E973A6" w:rsidRPr="00E973A6" w:rsidRDefault="00E973A6" w:rsidP="00E973A6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973A6">
        <w:rPr>
          <w:rFonts w:ascii="Times New Roman" w:hAnsi="Times New Roman"/>
          <w:b/>
          <w:sz w:val="26"/>
          <w:szCs w:val="26"/>
        </w:rPr>
        <w:t>Динамика поступления обращений граждан в администрацию муниципального района «Ферзиковский район» по месяцам 2015 года в сравнении с 2014 годом.</w:t>
      </w:r>
    </w:p>
    <w:p w:rsidR="00E973A6" w:rsidRPr="0058735F" w:rsidRDefault="00E973A6" w:rsidP="00AD2D1E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735F" w:rsidRDefault="0058735F" w:rsidP="0047202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napToGrid/>
          <w:sz w:val="26"/>
          <w:szCs w:val="26"/>
        </w:rPr>
        <w:drawing>
          <wp:inline distT="0" distB="0" distL="0" distR="0">
            <wp:extent cx="6286500" cy="35718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353C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</w:p>
    <w:p w:rsidR="00E973A6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№4</w:t>
      </w:r>
    </w:p>
    <w:p w:rsidR="00E973A6" w:rsidRDefault="00E973A6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Количество обращений граждан, поступивших </w:t>
      </w:r>
      <w:r w:rsidRPr="00E973A6">
        <w:rPr>
          <w:rFonts w:ascii="Times New Roman" w:hAnsi="Times New Roman"/>
          <w:b/>
          <w:sz w:val="26"/>
          <w:szCs w:val="26"/>
        </w:rPr>
        <w:t xml:space="preserve">в администрацию муниципального района «Ферзиковский район» </w:t>
      </w:r>
      <w:r>
        <w:rPr>
          <w:rFonts w:ascii="Times New Roman" w:hAnsi="Times New Roman"/>
          <w:b/>
          <w:sz w:val="26"/>
          <w:szCs w:val="26"/>
        </w:rPr>
        <w:t>в форме электронного документа в 2015 году в сравнении с 2014 годом.</w:t>
      </w:r>
    </w:p>
    <w:p w:rsidR="00AE5785" w:rsidRDefault="00E973A6" w:rsidP="00AE5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napToGrid/>
          <w:sz w:val="26"/>
          <w:szCs w:val="26"/>
        </w:rPr>
        <w:drawing>
          <wp:inline distT="0" distB="0" distL="0" distR="0">
            <wp:extent cx="615315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5785" w:rsidRDefault="00AE5785" w:rsidP="00AE5785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</w:p>
    <w:p w:rsidR="0058735F" w:rsidRDefault="00AE5785" w:rsidP="00D0353C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AE5785">
        <w:rPr>
          <w:rFonts w:ascii="Times New Roman" w:hAnsi="Times New Roman"/>
          <w:sz w:val="26"/>
          <w:szCs w:val="26"/>
        </w:rPr>
        <w:t xml:space="preserve">Из данных </w:t>
      </w:r>
      <w:r>
        <w:rPr>
          <w:rFonts w:ascii="Times New Roman" w:hAnsi="Times New Roman"/>
          <w:sz w:val="26"/>
          <w:szCs w:val="26"/>
        </w:rPr>
        <w:t xml:space="preserve">представленной </w:t>
      </w:r>
      <w:r w:rsidRPr="00AE5785">
        <w:rPr>
          <w:rFonts w:ascii="Times New Roman" w:hAnsi="Times New Roman"/>
          <w:sz w:val="26"/>
          <w:szCs w:val="26"/>
        </w:rPr>
        <w:t>таблицы</w:t>
      </w:r>
      <w:r>
        <w:rPr>
          <w:rFonts w:ascii="Times New Roman" w:hAnsi="Times New Roman"/>
          <w:sz w:val="26"/>
          <w:szCs w:val="26"/>
        </w:rPr>
        <w:t xml:space="preserve"> </w:t>
      </w:r>
      <w:r w:rsidR="00B40B8F">
        <w:rPr>
          <w:rFonts w:ascii="Times New Roman" w:hAnsi="Times New Roman"/>
          <w:sz w:val="26"/>
          <w:szCs w:val="26"/>
        </w:rPr>
        <w:t xml:space="preserve">№4 </w:t>
      </w:r>
      <w:r>
        <w:rPr>
          <w:rFonts w:ascii="Times New Roman" w:hAnsi="Times New Roman"/>
          <w:sz w:val="26"/>
          <w:szCs w:val="26"/>
        </w:rPr>
        <w:t xml:space="preserve">необходимо заметить, </w:t>
      </w:r>
      <w:r w:rsidR="00DF70DD">
        <w:rPr>
          <w:rFonts w:ascii="Times New Roman" w:hAnsi="Times New Roman"/>
          <w:sz w:val="26"/>
          <w:szCs w:val="26"/>
        </w:rPr>
        <w:t>темп роста</w:t>
      </w:r>
      <w:r>
        <w:rPr>
          <w:rFonts w:ascii="Times New Roman" w:hAnsi="Times New Roman"/>
          <w:sz w:val="26"/>
          <w:szCs w:val="26"/>
        </w:rPr>
        <w:t xml:space="preserve"> обращений, поступивших по каналам электронной почты, а также через сайт администрации (исполнительно-распорядительного органа) муниципального района «Ферзиковский район» в 2015 году увеличилось на 42 обращения по сравнению с 2014 годом.</w:t>
      </w:r>
      <w:r w:rsidR="00A871B7">
        <w:rPr>
          <w:rFonts w:ascii="Times New Roman" w:hAnsi="Times New Roman"/>
          <w:sz w:val="26"/>
          <w:szCs w:val="26"/>
        </w:rPr>
        <w:t xml:space="preserve"> Данные каналы связи становятся востребованными у населения муниципального района «Ферзиковский район».</w:t>
      </w:r>
    </w:p>
    <w:p w:rsidR="00D0353C" w:rsidRDefault="00D0353C" w:rsidP="00D0353C">
      <w:pPr>
        <w:pStyle w:val="Con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0353C">
        <w:rPr>
          <w:rFonts w:ascii="Times New Roman" w:hAnsi="Times New Roman"/>
          <w:b/>
          <w:sz w:val="26"/>
          <w:szCs w:val="26"/>
        </w:rPr>
        <w:lastRenderedPageBreak/>
        <w:t>Сводные данные по обращениям граждан, поступившим в администрацию муниципального района «Ферзиковский район» в 2015 году по тематикам обращений в сравнении с 2014 годом.</w:t>
      </w:r>
    </w:p>
    <w:p w:rsidR="00D0353C" w:rsidRDefault="00D0353C" w:rsidP="00D0353C">
      <w:pPr>
        <w:pStyle w:val="ConsNormal"/>
        <w:widowControl/>
        <w:ind w:firstLine="28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№5</w:t>
      </w:r>
    </w:p>
    <w:p w:rsidR="00177CD1" w:rsidRDefault="0083286B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176A2">
        <w:rPr>
          <w:rFonts w:ascii="Times New Roman" w:hAnsi="Times New Roman"/>
          <w:b/>
          <w:sz w:val="26"/>
          <w:szCs w:val="26"/>
        </w:rPr>
        <w:t xml:space="preserve">Тематики обращений граждан в сравнении с </w:t>
      </w:r>
      <w:r w:rsidR="00762C71" w:rsidRPr="005176A2">
        <w:rPr>
          <w:rFonts w:ascii="Times New Roman" w:hAnsi="Times New Roman"/>
          <w:b/>
          <w:sz w:val="26"/>
          <w:szCs w:val="26"/>
        </w:rPr>
        <w:t xml:space="preserve">аналогичным </w:t>
      </w:r>
      <w:r w:rsidRPr="005176A2">
        <w:rPr>
          <w:rFonts w:ascii="Times New Roman" w:hAnsi="Times New Roman"/>
          <w:b/>
          <w:sz w:val="26"/>
          <w:szCs w:val="26"/>
        </w:rPr>
        <w:t>периодом 201</w:t>
      </w:r>
      <w:r w:rsidR="00171E9E">
        <w:rPr>
          <w:rFonts w:ascii="Times New Roman" w:hAnsi="Times New Roman"/>
          <w:b/>
          <w:sz w:val="26"/>
          <w:szCs w:val="26"/>
        </w:rPr>
        <w:t>4</w:t>
      </w:r>
      <w:r w:rsidRPr="005176A2">
        <w:rPr>
          <w:rFonts w:ascii="Times New Roman" w:hAnsi="Times New Roman"/>
          <w:b/>
          <w:sz w:val="26"/>
          <w:szCs w:val="26"/>
        </w:rPr>
        <w:t xml:space="preserve"> года</w:t>
      </w:r>
      <w:r w:rsidR="008860F3" w:rsidRPr="005176A2">
        <w:rPr>
          <w:rFonts w:ascii="Times New Roman" w:hAnsi="Times New Roman"/>
          <w:b/>
          <w:sz w:val="26"/>
          <w:szCs w:val="26"/>
        </w:rPr>
        <w:t>.</w:t>
      </w:r>
    </w:p>
    <w:p w:rsidR="0069277D" w:rsidRPr="005176A2" w:rsidRDefault="0069277D" w:rsidP="005176A2">
      <w:pPr>
        <w:pStyle w:val="ConsNormal"/>
        <w:widowControl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62C71" w:rsidRDefault="008860F3" w:rsidP="00AD2D1E">
      <w:pPr>
        <w:pStyle w:val="ConsNormal"/>
        <w:widowControl/>
        <w:ind w:firstLine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napToGrid/>
          <w:sz w:val="26"/>
          <w:szCs w:val="26"/>
        </w:rPr>
        <w:drawing>
          <wp:inline distT="0" distB="0" distL="0" distR="0" wp14:anchorId="30BD97C5" wp14:editId="74741CCE">
            <wp:extent cx="6229350" cy="3914775"/>
            <wp:effectExtent l="0" t="0" r="19050" b="9525"/>
            <wp:docPr id="4" name="Диаграмма 4" descr="Вопросы эксплуатации жилищного фонда. Электроснабжение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2C71" w:rsidRDefault="00762C71" w:rsidP="00AD2D1E">
      <w:pPr>
        <w:ind w:firstLine="540"/>
        <w:jc w:val="both"/>
        <w:rPr>
          <w:szCs w:val="26"/>
        </w:rPr>
      </w:pPr>
    </w:p>
    <w:p w:rsidR="00A871B7" w:rsidRDefault="00A871B7" w:rsidP="00AD2D1E">
      <w:pPr>
        <w:ind w:firstLine="851"/>
        <w:jc w:val="both"/>
        <w:rPr>
          <w:szCs w:val="26"/>
        </w:rPr>
      </w:pPr>
    </w:p>
    <w:p w:rsidR="005176A2" w:rsidRPr="00D0353C" w:rsidRDefault="00D0353C" w:rsidP="00D0353C">
      <w:pPr>
        <w:ind w:firstLine="851"/>
        <w:jc w:val="right"/>
        <w:rPr>
          <w:b/>
          <w:szCs w:val="26"/>
        </w:rPr>
      </w:pPr>
      <w:r w:rsidRPr="00D0353C">
        <w:rPr>
          <w:b/>
          <w:szCs w:val="26"/>
        </w:rPr>
        <w:t>Таблица №6</w:t>
      </w:r>
    </w:p>
    <w:p w:rsidR="00993C5E" w:rsidRDefault="005176A2" w:rsidP="00993C5E">
      <w:pPr>
        <w:pStyle w:val="ConsNormal"/>
        <w:widowControl/>
        <w:ind w:firstLine="284"/>
        <w:jc w:val="center"/>
        <w:rPr>
          <w:szCs w:val="26"/>
        </w:rPr>
      </w:pPr>
      <w:r w:rsidRPr="005176A2">
        <w:rPr>
          <w:rFonts w:ascii="Times New Roman" w:hAnsi="Times New Roman"/>
          <w:b/>
          <w:sz w:val="26"/>
          <w:szCs w:val="26"/>
        </w:rPr>
        <w:t>Тематики обращений граждан, побывавших на личном приеме в сравнении с аналогичным периодом 20</w:t>
      </w:r>
      <w:r w:rsidR="00683690">
        <w:rPr>
          <w:rFonts w:ascii="Times New Roman" w:hAnsi="Times New Roman"/>
          <w:b/>
          <w:sz w:val="26"/>
          <w:szCs w:val="26"/>
        </w:rPr>
        <w:t>1</w:t>
      </w:r>
      <w:r w:rsidR="00171E9E">
        <w:rPr>
          <w:rFonts w:ascii="Times New Roman" w:hAnsi="Times New Roman"/>
          <w:b/>
          <w:sz w:val="26"/>
          <w:szCs w:val="26"/>
        </w:rPr>
        <w:t>4</w:t>
      </w:r>
      <w:r w:rsidRPr="005176A2">
        <w:rPr>
          <w:rFonts w:ascii="Times New Roman" w:hAnsi="Times New Roman"/>
          <w:b/>
          <w:sz w:val="26"/>
          <w:szCs w:val="26"/>
        </w:rPr>
        <w:t xml:space="preserve"> года.</w:t>
      </w:r>
      <w:r w:rsidR="00C2470D" w:rsidRPr="006B59EF">
        <w:rPr>
          <w:szCs w:val="26"/>
        </w:rPr>
        <w:t xml:space="preserve"> </w:t>
      </w:r>
      <w:r w:rsidR="00322E6A">
        <w:rPr>
          <w:rFonts w:ascii="Times New Roman" w:hAnsi="Times New Roman"/>
          <w:b/>
          <w:noProof/>
          <w:snapToGrid/>
          <w:sz w:val="26"/>
          <w:szCs w:val="26"/>
        </w:rPr>
        <w:drawing>
          <wp:inline distT="0" distB="0" distL="0" distR="0" wp14:anchorId="0C9B914A" wp14:editId="47216D2B">
            <wp:extent cx="6524625" cy="39052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3C5E" w:rsidRDefault="00126232" w:rsidP="00015976">
      <w:pPr>
        <w:ind w:firstLine="851"/>
        <w:jc w:val="both"/>
      </w:pPr>
      <w:r>
        <w:br w:type="page"/>
      </w:r>
      <w:proofErr w:type="gramStart"/>
      <w:r>
        <w:lastRenderedPageBreak/>
        <w:t>Исходя из представленных данных в таблицах №5,6 по основным тематикам обращений граждан за 2015 год видно, что в основном заявителей как и в 2014 году волнуют жизненно-важные вопросы, а именно строительство и ремонт дорог, эксплуатация жилищного фонда, земельные правоотношения, жилищные вопросы, вопросы социального обеспечения, а также  газификация населенных пунктов, расположенных на территории муниципального района «Ферзиковский район».</w:t>
      </w:r>
      <w:proofErr w:type="gramEnd"/>
    </w:p>
    <w:p w:rsidR="002B48FE" w:rsidRDefault="00D9503B" w:rsidP="00126232">
      <w:pPr>
        <w:ind w:firstLine="709"/>
        <w:jc w:val="both"/>
      </w:pPr>
      <w:r>
        <w:t>Самое большое количество обращений</w:t>
      </w:r>
      <w:r w:rsidR="002B48FE">
        <w:t xml:space="preserve"> в администрацию (исполнительно-распорядительного органа) муниципального района «Ферзиковский район» поступило по вопросу эксплуатации жилищного фонда 59 обращений, что значительно меньше по сравнению с 2014 годом 77 обращений. В данной категории обращений жители обращаются с просьбой о содействии в ремонте жилищного фонда, кровли.</w:t>
      </w:r>
    </w:p>
    <w:p w:rsidR="00C4599D" w:rsidRDefault="00C4599D" w:rsidP="00126232">
      <w:pPr>
        <w:ind w:firstLine="709"/>
        <w:jc w:val="both"/>
      </w:pPr>
      <w:r>
        <w:t>Следует отметить, что на втором месте по количеству обращений граждан находится вопрос земельных правоотношений – 58 обращений (в сравнении с 2014 годом - 55). В большинстве по данному вопросу поступают обращения связанные с оформлением земельных участков в собственность, предоставления земельных участков в аренду, изменения вида разрешенного использования земельных участков, изменения категории земельных участков</w:t>
      </w:r>
      <w:r w:rsidR="00B40B8F">
        <w:t>.</w:t>
      </w:r>
    </w:p>
    <w:p w:rsidR="00C4599D" w:rsidRDefault="00C4599D" w:rsidP="00C4599D">
      <w:pPr>
        <w:ind w:firstLine="709"/>
        <w:jc w:val="both"/>
      </w:pPr>
      <w:r>
        <w:t>На третьем месте остается вопрос ремонта дорог мостов в 2015 году количество обращений составило 56, что также существенно меньше, чем в 2014 году 85 – обращений.</w:t>
      </w:r>
    </w:p>
    <w:p w:rsidR="00C075A2" w:rsidRDefault="00DE3E7B" w:rsidP="00C4599D">
      <w:pPr>
        <w:ind w:firstLine="709"/>
        <w:jc w:val="both"/>
      </w:pPr>
      <w:r>
        <w:t xml:space="preserve">В 2015 году был </w:t>
      </w:r>
      <w:r w:rsidR="00C075A2">
        <w:t xml:space="preserve">произведен капитальный ремонт наплавного моста </w:t>
      </w:r>
      <w:r>
        <w:t xml:space="preserve">в п. Дугна через р. Ока, что значительно упрощает для жителей сельского поселения «Поселок Дугна», сельского поселения «Деревня </w:t>
      </w:r>
      <w:proofErr w:type="spellStart"/>
      <w:r>
        <w:t>Зудна</w:t>
      </w:r>
      <w:proofErr w:type="spellEnd"/>
      <w:r>
        <w:t xml:space="preserve">», сельского поселения «Октябрьский сельсовет» возможность до административного центра муниципального района «Ферзиковский район». Также была </w:t>
      </w:r>
      <w:r w:rsidR="00015976">
        <w:t>построена</w:t>
      </w:r>
      <w:r>
        <w:t xml:space="preserve"> «Окружная дорога п. Ферзиково», </w:t>
      </w:r>
      <w:r w:rsidR="00C075A2">
        <w:t xml:space="preserve">произведен </w:t>
      </w:r>
      <w:bookmarkStart w:id="0" w:name="_GoBack"/>
      <w:bookmarkEnd w:id="0"/>
      <w:r w:rsidR="00C075A2">
        <w:t>ремонт автомобильной дороги местного значения «Ястребовка-Андреевское», также за счет средств местного бюджета сельского поселения «</w:t>
      </w:r>
      <w:proofErr w:type="spellStart"/>
      <w:r w:rsidR="00C075A2">
        <w:t>Бебелевский</w:t>
      </w:r>
      <w:proofErr w:type="spellEnd"/>
      <w:r w:rsidR="00C075A2">
        <w:t xml:space="preserve"> сельсовет» отремонтирована автомобильная дорога в д. </w:t>
      </w:r>
      <w:proofErr w:type="spellStart"/>
      <w:r w:rsidR="00C075A2">
        <w:t>Болдасовка</w:t>
      </w:r>
      <w:proofErr w:type="spellEnd"/>
      <w:r w:rsidR="00C075A2">
        <w:t xml:space="preserve">. По неоднократной просьбе жителей была произведена реконструкция уличного освещения в д. Новая Деревня, а также установлены остановочные павильоны в д. </w:t>
      </w:r>
      <w:proofErr w:type="spellStart"/>
      <w:r w:rsidR="00C075A2">
        <w:t>Перцево</w:t>
      </w:r>
      <w:proofErr w:type="spellEnd"/>
      <w:r w:rsidR="00C075A2">
        <w:t xml:space="preserve">. </w:t>
      </w:r>
    </w:p>
    <w:p w:rsidR="004423E7" w:rsidRDefault="00B40B8F" w:rsidP="00C4599D">
      <w:pPr>
        <w:ind w:firstLine="709"/>
        <w:jc w:val="both"/>
      </w:pPr>
      <w:r>
        <w:t>По в</w:t>
      </w:r>
      <w:r w:rsidR="004423E7">
        <w:t>опросы газификации населенных пунктов, находящихся на территории муниципального района «Ферзиковский район» в 2015 году поступило – 48 обращений (в сравнении с 2014 годом 36), социального обеспечения поступило 40 обращений (в сравнении с 2014 годом 34).</w:t>
      </w:r>
    </w:p>
    <w:p w:rsidR="004423E7" w:rsidRDefault="004423E7" w:rsidP="00C4599D">
      <w:pPr>
        <w:ind w:firstLine="709"/>
        <w:jc w:val="both"/>
      </w:pPr>
      <w:r>
        <w:t xml:space="preserve">По вопросу социального обеспечения в основном поступают обращения об оказании материальной помощи малоимущим категориям населения, а также гражданам пенсионного возраста. В соответствии с </w:t>
      </w:r>
      <w:r w:rsidR="00B40B8F">
        <w:t xml:space="preserve">решениями </w:t>
      </w:r>
      <w:r>
        <w:t>заседания комиссии по оказанию адресной материальной помощи граждан, находящимся в трудной жизненной ситуации по всем обращениям была оказана материальная помощь. Из средств областного бюджета в 2015 году было выделено</w:t>
      </w:r>
      <w:r w:rsidR="00B40B8F">
        <w:t xml:space="preserve"> 236284 рублей. Также поступают обращения о предоставлении земельных участков в собственность многодетным семьям. В 2015 году многодетным семьям было предоставлено в собственность 15 земельных участков на территории муниципального района «Ферзиковский район».</w:t>
      </w:r>
    </w:p>
    <w:p w:rsidR="00B40B8F" w:rsidRDefault="00B40B8F" w:rsidP="00C4599D">
      <w:pPr>
        <w:ind w:firstLine="709"/>
        <w:jc w:val="both"/>
      </w:pPr>
      <w:r>
        <w:t>Также не остаются без внимания вопросы образования – 9 обращений (в сравнении с 2014 годом 6 обращений), здравоохранения – 5 обращений (в сравнении с 2014 годом - 0 обращений), и другие вопросы.</w:t>
      </w:r>
    </w:p>
    <w:p w:rsidR="004423E7" w:rsidRDefault="00DF70DD" w:rsidP="00DF70DD">
      <w:pPr>
        <w:ind w:firstLine="709"/>
        <w:jc w:val="center"/>
        <w:rPr>
          <w:b/>
        </w:rPr>
      </w:pPr>
      <w:r w:rsidRPr="00DF70DD">
        <w:rPr>
          <w:b/>
        </w:rPr>
        <w:t>Результаты рассмотрения обращений граждан.</w:t>
      </w:r>
      <w:r w:rsidR="00A871B7">
        <w:rPr>
          <w:b/>
        </w:rPr>
        <w:t xml:space="preserve"> Личные приемы.</w:t>
      </w:r>
    </w:p>
    <w:p w:rsidR="00A871B7" w:rsidRPr="00DF70DD" w:rsidRDefault="00A871B7" w:rsidP="00A871B7">
      <w:pPr>
        <w:ind w:firstLine="709"/>
        <w:jc w:val="both"/>
        <w:rPr>
          <w:b/>
        </w:rPr>
      </w:pPr>
      <w:r>
        <w:t>Как показывает практика, одним из наиболее действенных методов, влияющих на качество рассмотрения обращения граждан, является контроль со стороны руководства за надлежащим рассмотрением вопросов, поднимаемых гражданами в своих письмах.</w:t>
      </w:r>
    </w:p>
    <w:p w:rsidR="004309A4" w:rsidRDefault="00DF70DD" w:rsidP="00DF70DD">
      <w:pPr>
        <w:tabs>
          <w:tab w:val="left" w:pos="1485"/>
        </w:tabs>
        <w:ind w:firstLine="709"/>
        <w:jc w:val="both"/>
      </w:pPr>
      <w:r>
        <w:t xml:space="preserve">Работа с обращениями граждан в администрации (исполнительно-распорядительного органа) муниципального района «Ферзиковский район» ведется в строгом соответствии с Федеральным законом от 02 мая 2006 года №59-ФЗ «О порядке </w:t>
      </w:r>
      <w:r>
        <w:lastRenderedPageBreak/>
        <w:t>рассмотрения обращений граждан Российской Федерации»</w:t>
      </w:r>
      <w:r w:rsidR="00A871B7">
        <w:t xml:space="preserve">. </w:t>
      </w:r>
      <w:proofErr w:type="gramStart"/>
      <w:r w:rsidR="00A871B7">
        <w:t>В соответ</w:t>
      </w:r>
      <w:r w:rsidR="004309A4">
        <w:t>ст</w:t>
      </w:r>
      <w:r w:rsidR="00A871B7">
        <w:t xml:space="preserve">вии </w:t>
      </w:r>
      <w:r w:rsidR="004309A4">
        <w:t>с распоряжением администрации (исполнительно-распорядительного органа) муниципального района «Ферзиковский район» от 20 апреля 2015 года №77-р «О назначении ответственного за осуществление контроля соблюдения сроков рассмотрения обращения граждан, поступивших в администрацию (исполнительно-распорядительный орган) муниципального района «Ферзиковский район», ответственной была назначена Екатерина Валерьевна Калиничева, заместителя заведующей</w:t>
      </w:r>
      <w:r w:rsidR="004309A4" w:rsidRPr="004309A4">
        <w:t xml:space="preserve"> отделом организационно-контрольной и кадровой работы администрации (исполнительно-распорядительного органа) муниципального района «Ферзиковский район»</w:t>
      </w:r>
      <w:r w:rsidR="004309A4">
        <w:t>.</w:t>
      </w:r>
      <w:proofErr w:type="gramEnd"/>
    </w:p>
    <w:p w:rsidR="00DF70DD" w:rsidRDefault="004309A4" w:rsidP="00DF70DD">
      <w:pPr>
        <w:tabs>
          <w:tab w:val="left" w:pos="1485"/>
        </w:tabs>
        <w:ind w:firstLine="709"/>
        <w:jc w:val="both"/>
      </w:pPr>
      <w:r>
        <w:t xml:space="preserve">С 2014 года в администрации </w:t>
      </w:r>
      <w:r w:rsidRPr="004309A4">
        <w:t>(исполнительно-распорядительно</w:t>
      </w:r>
      <w:r w:rsidR="000D73C2">
        <w:t>м</w:t>
      </w:r>
      <w:r w:rsidRPr="004309A4">
        <w:t xml:space="preserve"> орган</w:t>
      </w:r>
      <w:r w:rsidR="000D73C2">
        <w:t>е</w:t>
      </w:r>
      <w:r w:rsidRPr="004309A4">
        <w:t>) муниципального района «Ферзиковский район»</w:t>
      </w:r>
      <w:r w:rsidR="000D73C2">
        <w:t xml:space="preserve"> функционирует закрытый информационный ресурс в информационно-телекоммуникацион</w:t>
      </w:r>
      <w:r w:rsidR="00DE3E7B">
        <w:t xml:space="preserve">ной сети Интернет ССТУ.РФ. </w:t>
      </w:r>
      <w:r w:rsidR="00DF70DD">
        <w:t>По состоянию на 01.01.2016 года на рассмотрении в администрации (исполнительно-распорядительного) муниципального района «Ферзиковский район» находятся 56 обращений, рассмотрено - 356 обращений.</w:t>
      </w:r>
    </w:p>
    <w:p w:rsidR="00DF70DD" w:rsidRPr="00993C5E" w:rsidRDefault="00DF70DD" w:rsidP="00DF70DD">
      <w:pPr>
        <w:tabs>
          <w:tab w:val="left" w:pos="1485"/>
        </w:tabs>
        <w:jc w:val="both"/>
      </w:pPr>
    </w:p>
    <w:sectPr w:rsidR="00DF70DD" w:rsidRPr="00993C5E" w:rsidSect="005A6A8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95" w:rsidRDefault="00053595" w:rsidP="00993C5E">
      <w:r>
        <w:separator/>
      </w:r>
    </w:p>
  </w:endnote>
  <w:endnote w:type="continuationSeparator" w:id="0">
    <w:p w:rsidR="00053595" w:rsidRDefault="00053595" w:rsidP="0099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95" w:rsidRDefault="00053595" w:rsidP="00993C5E">
      <w:r>
        <w:separator/>
      </w:r>
    </w:p>
  </w:footnote>
  <w:footnote w:type="continuationSeparator" w:id="0">
    <w:p w:rsidR="00053595" w:rsidRDefault="00053595" w:rsidP="0099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2BE"/>
    <w:multiLevelType w:val="hybridMultilevel"/>
    <w:tmpl w:val="E4E0F034"/>
    <w:lvl w:ilvl="0" w:tplc="306C25AA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B2375B8"/>
    <w:multiLevelType w:val="hybridMultilevel"/>
    <w:tmpl w:val="5A2E1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95939"/>
    <w:multiLevelType w:val="hybridMultilevel"/>
    <w:tmpl w:val="8050ED92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4B63E7"/>
    <w:multiLevelType w:val="hybridMultilevel"/>
    <w:tmpl w:val="A77246EC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1F99"/>
    <w:multiLevelType w:val="hybridMultilevel"/>
    <w:tmpl w:val="146240FC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550DE"/>
    <w:multiLevelType w:val="hybridMultilevel"/>
    <w:tmpl w:val="EF146C0E"/>
    <w:lvl w:ilvl="0" w:tplc="306C25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9520A"/>
    <w:multiLevelType w:val="hybridMultilevel"/>
    <w:tmpl w:val="F912BDAE"/>
    <w:lvl w:ilvl="0" w:tplc="52E809D0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</w:rPr>
    </w:lvl>
    <w:lvl w:ilvl="1" w:tplc="B1CC7596">
      <w:start w:val="1"/>
      <w:numFmt w:val="bullet"/>
      <w:lvlText w:val=""/>
      <w:lvlJc w:val="left"/>
      <w:pPr>
        <w:tabs>
          <w:tab w:val="num" w:pos="1135"/>
        </w:tabs>
        <w:ind w:left="568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36F49"/>
    <w:multiLevelType w:val="hybridMultilevel"/>
    <w:tmpl w:val="29F62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1105"/>
    <w:multiLevelType w:val="hybridMultilevel"/>
    <w:tmpl w:val="1E5ADD1C"/>
    <w:lvl w:ilvl="0" w:tplc="306C25AA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58434312"/>
    <w:multiLevelType w:val="hybridMultilevel"/>
    <w:tmpl w:val="F056CBE4"/>
    <w:lvl w:ilvl="0" w:tplc="0944B5AA">
      <w:start w:val="1"/>
      <w:numFmt w:val="decimal"/>
      <w:lvlText w:val="%1)"/>
      <w:lvlJc w:val="left"/>
      <w:pPr>
        <w:tabs>
          <w:tab w:val="num" w:pos="2040"/>
        </w:tabs>
        <w:ind w:left="2040" w:hanging="1200"/>
      </w:pPr>
    </w:lvl>
    <w:lvl w:ilvl="1" w:tplc="686A051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028B2"/>
    <w:multiLevelType w:val="hybridMultilevel"/>
    <w:tmpl w:val="CD026850"/>
    <w:lvl w:ilvl="0" w:tplc="B1CC7596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D333A"/>
    <w:multiLevelType w:val="hybridMultilevel"/>
    <w:tmpl w:val="97480F00"/>
    <w:lvl w:ilvl="0" w:tplc="5BBCC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666BBA"/>
    <w:multiLevelType w:val="hybridMultilevel"/>
    <w:tmpl w:val="E242BBAA"/>
    <w:lvl w:ilvl="0" w:tplc="B1CC7596">
      <w:start w:val="1"/>
      <w:numFmt w:val="bullet"/>
      <w:lvlText w:val=""/>
      <w:lvlJc w:val="left"/>
      <w:pPr>
        <w:tabs>
          <w:tab w:val="num" w:pos="1134"/>
        </w:tabs>
        <w:ind w:left="567" w:firstLine="567"/>
      </w:pPr>
      <w:rPr>
        <w:rFonts w:ascii="Symbol" w:hAnsi="Symbol" w:hint="default"/>
      </w:rPr>
    </w:lvl>
    <w:lvl w:ilvl="1" w:tplc="04A8FA1A">
      <w:start w:val="3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B1CC7596">
      <w:start w:val="1"/>
      <w:numFmt w:val="bullet"/>
      <w:lvlText w:val=""/>
      <w:lvlJc w:val="left"/>
      <w:pPr>
        <w:tabs>
          <w:tab w:val="num" w:pos="2367"/>
        </w:tabs>
        <w:ind w:left="1800" w:firstLine="567"/>
      </w:pPr>
      <w:rPr>
        <w:rFonts w:ascii="Symbol" w:hAnsi="Symbol" w:hint="default"/>
      </w:rPr>
    </w:lvl>
    <w:lvl w:ilvl="3" w:tplc="67349314">
      <w:start w:val="6"/>
      <w:numFmt w:val="decimal"/>
      <w:lvlText w:val="%4."/>
      <w:lvlJc w:val="left"/>
      <w:pPr>
        <w:tabs>
          <w:tab w:val="num" w:pos="3087"/>
        </w:tabs>
        <w:ind w:left="2520" w:firstLine="567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8A10F52"/>
    <w:multiLevelType w:val="hybridMultilevel"/>
    <w:tmpl w:val="D832AE30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D"/>
    <w:rsid w:val="000062A1"/>
    <w:rsid w:val="00011225"/>
    <w:rsid w:val="00015976"/>
    <w:rsid w:val="00053595"/>
    <w:rsid w:val="00081594"/>
    <w:rsid w:val="000D33DA"/>
    <w:rsid w:val="000D73C2"/>
    <w:rsid w:val="000E685D"/>
    <w:rsid w:val="000F24BD"/>
    <w:rsid w:val="001163B1"/>
    <w:rsid w:val="00120991"/>
    <w:rsid w:val="00126232"/>
    <w:rsid w:val="00144BDF"/>
    <w:rsid w:val="00171E9E"/>
    <w:rsid w:val="001753C2"/>
    <w:rsid w:val="0017590A"/>
    <w:rsid w:val="00177CD1"/>
    <w:rsid w:val="00181BCB"/>
    <w:rsid w:val="001B2D13"/>
    <w:rsid w:val="001C2AAA"/>
    <w:rsid w:val="00200038"/>
    <w:rsid w:val="00201B48"/>
    <w:rsid w:val="0022211D"/>
    <w:rsid w:val="0025172D"/>
    <w:rsid w:val="00260527"/>
    <w:rsid w:val="00260734"/>
    <w:rsid w:val="002B48FE"/>
    <w:rsid w:val="002C2DF1"/>
    <w:rsid w:val="002D66D1"/>
    <w:rsid w:val="00312697"/>
    <w:rsid w:val="00313B47"/>
    <w:rsid w:val="00322E6A"/>
    <w:rsid w:val="003A05B8"/>
    <w:rsid w:val="003A4F53"/>
    <w:rsid w:val="004309A4"/>
    <w:rsid w:val="004423E7"/>
    <w:rsid w:val="00446FB7"/>
    <w:rsid w:val="00464C7A"/>
    <w:rsid w:val="0047202C"/>
    <w:rsid w:val="004F6ED5"/>
    <w:rsid w:val="005176A2"/>
    <w:rsid w:val="00520EFB"/>
    <w:rsid w:val="00533220"/>
    <w:rsid w:val="0058735F"/>
    <w:rsid w:val="00591A75"/>
    <w:rsid w:val="005A6A80"/>
    <w:rsid w:val="00633AA5"/>
    <w:rsid w:val="00660682"/>
    <w:rsid w:val="00673F65"/>
    <w:rsid w:val="00683690"/>
    <w:rsid w:val="0068419A"/>
    <w:rsid w:val="0069277D"/>
    <w:rsid w:val="006A2AC5"/>
    <w:rsid w:val="006B59EF"/>
    <w:rsid w:val="006D050E"/>
    <w:rsid w:val="006D2511"/>
    <w:rsid w:val="007427D9"/>
    <w:rsid w:val="00762C71"/>
    <w:rsid w:val="00772672"/>
    <w:rsid w:val="007741C7"/>
    <w:rsid w:val="0083286B"/>
    <w:rsid w:val="00840272"/>
    <w:rsid w:val="008860F3"/>
    <w:rsid w:val="008A37B9"/>
    <w:rsid w:val="008D7AFB"/>
    <w:rsid w:val="008E2926"/>
    <w:rsid w:val="008F07D1"/>
    <w:rsid w:val="00902326"/>
    <w:rsid w:val="00993C5E"/>
    <w:rsid w:val="00996959"/>
    <w:rsid w:val="009A6C97"/>
    <w:rsid w:val="009B0943"/>
    <w:rsid w:val="009B515E"/>
    <w:rsid w:val="009E5389"/>
    <w:rsid w:val="009E7630"/>
    <w:rsid w:val="009F06E3"/>
    <w:rsid w:val="00A124AE"/>
    <w:rsid w:val="00A5654D"/>
    <w:rsid w:val="00A871B7"/>
    <w:rsid w:val="00AA3B5D"/>
    <w:rsid w:val="00AD2D1E"/>
    <w:rsid w:val="00AD6640"/>
    <w:rsid w:val="00AE37C6"/>
    <w:rsid w:val="00AE5785"/>
    <w:rsid w:val="00AE7C77"/>
    <w:rsid w:val="00B20236"/>
    <w:rsid w:val="00B21431"/>
    <w:rsid w:val="00B40B8F"/>
    <w:rsid w:val="00BE2555"/>
    <w:rsid w:val="00BE42E9"/>
    <w:rsid w:val="00C075A2"/>
    <w:rsid w:val="00C2470D"/>
    <w:rsid w:val="00C302CB"/>
    <w:rsid w:val="00C4599D"/>
    <w:rsid w:val="00C5077E"/>
    <w:rsid w:val="00C55B13"/>
    <w:rsid w:val="00C75F1A"/>
    <w:rsid w:val="00C80550"/>
    <w:rsid w:val="00C942E2"/>
    <w:rsid w:val="00C95843"/>
    <w:rsid w:val="00CB0320"/>
    <w:rsid w:val="00CE5001"/>
    <w:rsid w:val="00CE69C3"/>
    <w:rsid w:val="00D0353C"/>
    <w:rsid w:val="00D61ED9"/>
    <w:rsid w:val="00D803C9"/>
    <w:rsid w:val="00D9503B"/>
    <w:rsid w:val="00D9585C"/>
    <w:rsid w:val="00DC01B7"/>
    <w:rsid w:val="00DD5673"/>
    <w:rsid w:val="00DE3E7B"/>
    <w:rsid w:val="00DF70DD"/>
    <w:rsid w:val="00E075CF"/>
    <w:rsid w:val="00E13A38"/>
    <w:rsid w:val="00E230BC"/>
    <w:rsid w:val="00E80218"/>
    <w:rsid w:val="00E973A6"/>
    <w:rsid w:val="00EE2B3C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B5D"/>
    <w:pPr>
      <w:keepNext/>
      <w:ind w:left="426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3B5D"/>
    <w:pPr>
      <w:framePr w:w="4117" w:h="2164" w:hSpace="180" w:wrap="auto" w:vAnchor="text" w:hAnchor="page" w:x="6769" w:y="-69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AA3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A3B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2AC5"/>
    <w:rPr>
      <w:color w:val="0080FF" w:themeColor="hyperlink"/>
      <w:u w:val="single"/>
    </w:rPr>
  </w:style>
  <w:style w:type="paragraph" w:styleId="a7">
    <w:name w:val="List Paragraph"/>
    <w:basedOn w:val="a"/>
    <w:uiPriority w:val="34"/>
    <w:qFormat/>
    <w:rsid w:val="00446F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B5D"/>
    <w:pPr>
      <w:keepNext/>
      <w:ind w:left="426"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3B5D"/>
    <w:pPr>
      <w:framePr w:w="4117" w:h="2164" w:hSpace="180" w:wrap="auto" w:vAnchor="text" w:hAnchor="page" w:x="6769" w:y="-69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AA3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A3B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2AC5"/>
    <w:rPr>
      <w:color w:val="0080FF" w:themeColor="hyperlink"/>
      <w:u w:val="single"/>
    </w:rPr>
  </w:style>
  <w:style w:type="paragraph" w:styleId="a7">
    <w:name w:val="List Paragraph"/>
    <w:basedOn w:val="a"/>
    <w:uiPriority w:val="34"/>
    <w:qFormat/>
    <w:rsid w:val="00446F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3C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C5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Pt>
            <c:idx val="4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  <c:spPr>
              <a:solidFill>
                <a:srgbClr val="C00000"/>
              </a:solidFill>
            </c:spPr>
          </c:dPt>
          <c:dPt>
            <c:idx val="7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8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9"/>
            <c:bubble3D val="0"/>
            <c:spPr>
              <a:solidFill>
                <a:srgbClr val="7030A0"/>
              </a:solidFill>
            </c:spPr>
          </c:dPt>
          <c:dPt>
            <c:idx val="10"/>
            <c:bubble3D val="0"/>
            <c:spPr>
              <a:solidFill>
                <a:srgbClr val="FF0000"/>
              </a:solidFill>
            </c:spPr>
          </c:dPt>
          <c:dLbls>
            <c:dLbl>
              <c:idx val="7"/>
              <c:layout>
                <c:manualLayout>
                  <c:x val="-0.27190726159230094"/>
                  <c:y val="4.69906886639170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Приемную Президента РФ в Калужской области </c:v>
                </c:pt>
                <c:pt idx="1">
                  <c:v>Министерство строительства, жилищно-коммунального хозяйства Калужской области </c:v>
                </c:pt>
                <c:pt idx="2">
                  <c:v>Администрацию Губернатора Калужской области </c:v>
                </c:pt>
                <c:pt idx="3">
                  <c:v>Министерство дорожного хозяйства Калужской области </c:v>
                </c:pt>
                <c:pt idx="4">
                  <c:v>Прокуратура Ферзиковского района</c:v>
                </c:pt>
                <c:pt idx="5">
                  <c:v>Министерство по делам семьи, демографической и социальной политике Калужской области</c:v>
                </c:pt>
                <c:pt idx="6">
                  <c:v>Инспекция Государственного строительного надзора Калужской области</c:v>
                </c:pt>
                <c:pt idx="7">
                  <c:v>Обращения из других вышестоящих организаций</c:v>
                </c:pt>
                <c:pt idx="8">
                  <c:v>Личных обращений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7</c:v>
                </c:pt>
                <c:pt idx="2">
                  <c:v>58</c:v>
                </c:pt>
                <c:pt idx="3">
                  <c:v>6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12</c:v>
                </c:pt>
                <c:pt idx="8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Приемную Президента РФ в Калужской области </c:v>
                </c:pt>
                <c:pt idx="1">
                  <c:v>Министерство строительства, жилищно-коммунального хозяйства Калужской области </c:v>
                </c:pt>
                <c:pt idx="2">
                  <c:v>Администрацию Губернатора Калужской области </c:v>
                </c:pt>
                <c:pt idx="3">
                  <c:v>Министерство дорожного хозяйства Калужской области </c:v>
                </c:pt>
                <c:pt idx="4">
                  <c:v>Прокуратура Ферзиковского района</c:v>
                </c:pt>
                <c:pt idx="5">
                  <c:v>Министерство по делам семьи, демографической и социальной политике Калужской области</c:v>
                </c:pt>
                <c:pt idx="6">
                  <c:v>Инспекция Государственного строительного надзора Калужской области</c:v>
                </c:pt>
                <c:pt idx="7">
                  <c:v>Обращения из других вышестоящих организаций</c:v>
                </c:pt>
                <c:pt idx="8">
                  <c:v>Личных обращений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Лист1!$B$1:$B$10</c:f>
              <c:strCache>
                <c:ptCount val="1"/>
                <c:pt idx="0">
                  <c:v>2015 год 7 7 58 6 1 4 1 12 126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38</c:v>
                </c:pt>
                <c:pt idx="1">
                  <c:v>32</c:v>
                </c:pt>
                <c:pt idx="2">
                  <c:v>40</c:v>
                </c:pt>
                <c:pt idx="3">
                  <c:v>57</c:v>
                </c:pt>
                <c:pt idx="4">
                  <c:v>36</c:v>
                </c:pt>
                <c:pt idx="5">
                  <c:v>23</c:v>
                </c:pt>
                <c:pt idx="6">
                  <c:v>30</c:v>
                </c:pt>
                <c:pt idx="7">
                  <c:v>29</c:v>
                </c:pt>
                <c:pt idx="8">
                  <c:v>68</c:v>
                </c:pt>
                <c:pt idx="9">
                  <c:v>14</c:v>
                </c:pt>
                <c:pt idx="10">
                  <c:v>17</c:v>
                </c:pt>
                <c:pt idx="11">
                  <c:v>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50</c:v>
                </c:pt>
                <c:pt idx="1">
                  <c:v>34</c:v>
                </c:pt>
                <c:pt idx="2">
                  <c:v>46</c:v>
                </c:pt>
                <c:pt idx="3">
                  <c:v>51</c:v>
                </c:pt>
                <c:pt idx="4">
                  <c:v>44</c:v>
                </c:pt>
                <c:pt idx="5">
                  <c:v>40</c:v>
                </c:pt>
                <c:pt idx="6">
                  <c:v>36</c:v>
                </c:pt>
                <c:pt idx="7">
                  <c:v>46</c:v>
                </c:pt>
                <c:pt idx="8">
                  <c:v>53</c:v>
                </c:pt>
                <c:pt idx="9">
                  <c:v>55</c:v>
                </c:pt>
                <c:pt idx="10">
                  <c:v>32</c:v>
                </c:pt>
                <c:pt idx="11">
                  <c:v>26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704256"/>
        <c:axId val="40710144"/>
      </c:lineChart>
      <c:catAx>
        <c:axId val="40704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FF0000"/>
                </a:solidFill>
              </a:defRPr>
            </a:pPr>
            <a:endParaRPr lang="ru-RU"/>
          </a:p>
        </c:txPr>
        <c:crossAx val="40710144"/>
        <c:crosses val="autoZero"/>
        <c:auto val="1"/>
        <c:lblAlgn val="ctr"/>
        <c:lblOffset val="100"/>
        <c:noMultiLvlLbl val="0"/>
      </c:catAx>
      <c:valAx>
        <c:axId val="40710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0704256"/>
        <c:crosses val="autoZero"/>
        <c:crossBetween val="between"/>
      </c:valAx>
      <c:spPr>
        <a:ln>
          <a:solidFill>
            <a:srgbClr val="00B050"/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68934610727839"/>
          <c:y val="2.8184601924759405E-2"/>
          <c:w val="0.75792155237561254"/>
          <c:h val="0.7029933758280214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Обращение граждан в электроной форме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Лист1!$A$2</c:f>
              <c:strCache>
                <c:ptCount val="1"/>
                <c:pt idx="0">
                  <c:v>Обращение граждан в электроной форме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0727296"/>
        <c:axId val="40728832"/>
        <c:axId val="40708736"/>
      </c:bar3DChart>
      <c:catAx>
        <c:axId val="40727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40728832"/>
        <c:crosses val="autoZero"/>
        <c:auto val="1"/>
        <c:lblAlgn val="ctr"/>
        <c:lblOffset val="100"/>
        <c:noMultiLvlLbl val="0"/>
      </c:catAx>
      <c:valAx>
        <c:axId val="4072883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40727296"/>
        <c:crosses val="autoZero"/>
        <c:crossBetween val="between"/>
      </c:valAx>
      <c:serAx>
        <c:axId val="40708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4072883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2014 год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Лист1!$A$2:$A$15</c:f>
              <c:strCache>
                <c:ptCount val="14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Транспорт, строрительство,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Экология и природопользование</c:v>
                </c:pt>
                <c:pt idx="9">
                  <c:v>Вопросы эксплуатации жилищного фонда. Электроснабжение. </c:v>
                </c:pt>
                <c:pt idx="10">
                  <c:v>Газификация. Впоросы водоснабжзения, водоотведения. Отопление.</c:v>
                </c:pt>
                <c:pt idx="11">
                  <c:v>Вопросы градостроительной деятельности</c:v>
                </c:pt>
                <c:pt idx="12">
                  <c:v>другие вопросы</c:v>
                </c:pt>
                <c:pt idx="13">
                  <c:v>всего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26</c:v>
                </c:pt>
                <c:pt idx="1">
                  <c:v>32</c:v>
                </c:pt>
                <c:pt idx="2">
                  <c:v>71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48</c:v>
                </c:pt>
                <c:pt idx="10">
                  <c:v>29</c:v>
                </c:pt>
                <c:pt idx="11">
                  <c:v>68</c:v>
                </c:pt>
                <c:pt idx="12">
                  <c:v>195</c:v>
                </c:pt>
                <c:pt idx="13">
                  <c:v>480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2015 год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Лист1!$A$2:$A$15</c:f>
              <c:strCache>
                <c:ptCount val="14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Транспорт, строрительство,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Экология и природопользование</c:v>
                </c:pt>
                <c:pt idx="9">
                  <c:v>Вопросы эксплуатации жилищного фонда. Электроснабжение. </c:v>
                </c:pt>
                <c:pt idx="10">
                  <c:v>Газификация. Впоросы водоснабжзения, водоотведения. Отопление.</c:v>
                </c:pt>
                <c:pt idx="11">
                  <c:v>Вопросы градостроительной деятельности</c:v>
                </c:pt>
                <c:pt idx="12">
                  <c:v>другие вопросы</c:v>
                </c:pt>
                <c:pt idx="13">
                  <c:v>всего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33</c:v>
                </c:pt>
                <c:pt idx="1">
                  <c:v>29</c:v>
                </c:pt>
                <c:pt idx="2">
                  <c:v>48</c:v>
                </c:pt>
                <c:pt idx="3">
                  <c:v>6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53</c:v>
                </c:pt>
                <c:pt idx="10">
                  <c:v>38</c:v>
                </c:pt>
                <c:pt idx="11">
                  <c:v>5</c:v>
                </c:pt>
                <c:pt idx="12">
                  <c:v>10</c:v>
                </c:pt>
                <c:pt idx="13">
                  <c:v>412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77920"/>
        <c:axId val="40979456"/>
      </c:barChart>
      <c:catAx>
        <c:axId val="40977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7030A0"/>
                </a:solidFill>
              </a:defRPr>
            </a:pPr>
            <a:endParaRPr lang="ru-RU"/>
          </a:p>
        </c:txPr>
        <c:crossAx val="40979456"/>
        <c:crosses val="autoZero"/>
        <c:auto val="1"/>
        <c:lblAlgn val="ctr"/>
        <c:lblOffset val="100"/>
        <c:noMultiLvlLbl val="0"/>
      </c:catAx>
      <c:valAx>
        <c:axId val="4097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7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2014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Лист1!$A$2:$A$15</c:f>
              <c:strCache>
                <c:ptCount val="14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Транспорт, строрительство,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Экология и природопользование</c:v>
                </c:pt>
                <c:pt idx="9">
                  <c:v>Газификация. Впоросы водоснабжзения, водоотведения. Отопление.</c:v>
                </c:pt>
                <c:pt idx="10">
                  <c:v>Вопросы градостроительной деятельности</c:v>
                </c:pt>
                <c:pt idx="11">
                  <c:v>Вопросы эксплуатации жилищного фонда</c:v>
                </c:pt>
                <c:pt idx="12">
                  <c:v>другие вопросы</c:v>
                </c:pt>
                <c:pt idx="13">
                  <c:v>всего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29</c:v>
                </c:pt>
                <c:pt idx="1">
                  <c:v>2</c:v>
                </c:pt>
                <c:pt idx="2">
                  <c:v>14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</c:v>
                </c:pt>
                <c:pt idx="8">
                  <c:v>1</c:v>
                </c:pt>
                <c:pt idx="9">
                  <c:v>7</c:v>
                </c:pt>
                <c:pt idx="10">
                  <c:v>0</c:v>
                </c:pt>
                <c:pt idx="11">
                  <c:v>29</c:v>
                </c:pt>
                <c:pt idx="12">
                  <c:v>70</c:v>
                </c:pt>
                <c:pt idx="13">
                  <c:v>160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2015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Вопросы землепользования, градостроительства</c:v>
                </c:pt>
                <c:pt idx="1">
                  <c:v>Социальное обеспечение</c:v>
                </c:pt>
                <c:pt idx="2">
                  <c:v>Транспорт, строрительство, ремонт и эксплуатация дорог</c:v>
                </c:pt>
                <c:pt idx="3">
                  <c:v>Образование. Наука. Культура</c:v>
                </c:pt>
                <c:pt idx="4">
                  <c:v>Агропромышленный комплекс</c:v>
                </c:pt>
                <c:pt idx="5">
                  <c:v>Здравоохранение </c:v>
                </c:pt>
                <c:pt idx="6">
                  <c:v>Физическая культура, спорт</c:v>
                </c:pt>
                <c:pt idx="7">
                  <c:v>Жилищные вопросы</c:v>
                </c:pt>
                <c:pt idx="8">
                  <c:v>Экология и природопользование</c:v>
                </c:pt>
                <c:pt idx="9">
                  <c:v>Газификация. Впоросы водоснабжзения, водоотведения. Отопление.</c:v>
                </c:pt>
                <c:pt idx="10">
                  <c:v>Вопросы градостроительной деятельности</c:v>
                </c:pt>
                <c:pt idx="11">
                  <c:v>Вопросы эксплуатации жилищного фонда</c:v>
                </c:pt>
                <c:pt idx="12">
                  <c:v>другие вопросы</c:v>
                </c:pt>
                <c:pt idx="13">
                  <c:v>всего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25</c:v>
                </c:pt>
                <c:pt idx="1">
                  <c:v>11</c:v>
                </c:pt>
                <c:pt idx="2">
                  <c:v>8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18</c:v>
                </c:pt>
                <c:pt idx="8">
                  <c:v>0</c:v>
                </c:pt>
                <c:pt idx="9">
                  <c:v>10</c:v>
                </c:pt>
                <c:pt idx="10">
                  <c:v>3</c:v>
                </c:pt>
                <c:pt idx="11">
                  <c:v>6</c:v>
                </c:pt>
                <c:pt idx="12">
                  <c:v>59</c:v>
                </c:pt>
                <c:pt idx="13">
                  <c:v>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41099264"/>
        <c:axId val="41100800"/>
      </c:barChart>
      <c:catAx>
        <c:axId val="410992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ru-RU"/>
          </a:p>
        </c:txPr>
        <c:crossAx val="41100800"/>
        <c:crosses val="autoZero"/>
        <c:auto val="1"/>
        <c:lblAlgn val="ctr"/>
        <c:lblOffset val="100"/>
        <c:noMultiLvlLbl val="0"/>
      </c:catAx>
      <c:valAx>
        <c:axId val="41100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109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6F50-765A-4188-8A3E-FC7AB440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Екатерина</cp:lastModifiedBy>
  <cp:revision>7</cp:revision>
  <cp:lastPrinted>2016-01-13T12:41:00Z</cp:lastPrinted>
  <dcterms:created xsi:type="dcterms:W3CDTF">2016-01-12T12:07:00Z</dcterms:created>
  <dcterms:modified xsi:type="dcterms:W3CDTF">2016-01-14T07:55:00Z</dcterms:modified>
</cp:coreProperties>
</file>